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E514">
      <w:pPr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二0二</w:t>
      </w:r>
      <w:r>
        <w:rPr>
          <w:rFonts w:hint="eastAsia" w:eastAsia="方正大标宋简体"/>
          <w:sz w:val="48"/>
          <w:lang w:eastAsia="zh-CN"/>
        </w:rPr>
        <w:t>四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 w14:paraId="6DD234CF">
      <w:pPr>
        <w:jc w:val="center"/>
        <w:rPr>
          <w:rFonts w:eastAsia="方正大标宋简体"/>
          <w:sz w:val="48"/>
        </w:rPr>
      </w:pPr>
      <w:r>
        <w:rPr>
          <w:rFonts w:hint="eastAsia" w:eastAsia="方正大标宋简体"/>
          <w:sz w:val="48"/>
        </w:rPr>
        <w:t>分析报告</w:t>
      </w:r>
    </w:p>
    <w:p w14:paraId="36B2246A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年,我市围绕市人大会议确定的目标任务，积极发挥财政职能作用，加大组织收入力度，不断强化支出管理，深化财政制度改革，努力筹措调度资金，保障各项重点支出，全市财政收入实现平稳增长。现将202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年财政总决算分析如下：</w:t>
      </w:r>
    </w:p>
    <w:p w14:paraId="62C14E77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年财政预算执行情况</w:t>
      </w:r>
    </w:p>
    <w:p w14:paraId="6FFE412A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（一）一般公共财政预算收支执行情况</w:t>
      </w:r>
    </w:p>
    <w:p w14:paraId="725C6545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年，地方财政总收入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221907</w:t>
      </w:r>
      <w:r>
        <w:rPr>
          <w:rFonts w:hint="eastAsia" w:ascii="仿宋" w:hAnsi="仿宋" w:eastAsia="仿宋" w:cs="仿宋"/>
          <w:sz w:val="32"/>
          <w:szCs w:val="32"/>
        </w:rPr>
        <w:t>万元，其中：上划中央级收入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44900</w:t>
      </w:r>
      <w:r>
        <w:rPr>
          <w:rFonts w:hint="eastAsia" w:ascii="仿宋" w:hAnsi="仿宋" w:eastAsia="仿宋" w:cs="仿宋"/>
          <w:sz w:val="32"/>
          <w:szCs w:val="32"/>
        </w:rPr>
        <w:t>万元（包括上划中央国内增值税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35755</w:t>
      </w:r>
      <w:r>
        <w:rPr>
          <w:rFonts w:hint="eastAsia" w:ascii="仿宋" w:hAnsi="仿宋" w:eastAsia="仿宋" w:cs="仿宋"/>
          <w:sz w:val="32"/>
          <w:szCs w:val="32"/>
        </w:rPr>
        <w:t>万元，上划中央国内消费税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万元，上划中央国内个人所得税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2423</w:t>
      </w:r>
      <w:r>
        <w:rPr>
          <w:rFonts w:hint="eastAsia" w:ascii="仿宋" w:hAnsi="仿宋" w:eastAsia="仿宋" w:cs="仿宋"/>
          <w:sz w:val="32"/>
          <w:szCs w:val="32"/>
        </w:rPr>
        <w:t>万元，上划中央企业所得税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6708</w:t>
      </w:r>
      <w:r>
        <w:rPr>
          <w:rFonts w:hint="eastAsia" w:ascii="仿宋" w:hAnsi="仿宋" w:eastAsia="仿宋" w:cs="仿宋"/>
          <w:sz w:val="32"/>
          <w:szCs w:val="32"/>
        </w:rPr>
        <w:t>万元），上划省级收入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14963</w:t>
      </w:r>
      <w:r>
        <w:rPr>
          <w:rFonts w:hint="eastAsia" w:ascii="仿宋" w:hAnsi="仿宋" w:eastAsia="仿宋" w:cs="仿宋"/>
          <w:sz w:val="32"/>
          <w:szCs w:val="32"/>
        </w:rPr>
        <w:t>万元（包括上划省级增值税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8904</w:t>
      </w:r>
      <w:r>
        <w:rPr>
          <w:rFonts w:hint="eastAsia" w:ascii="仿宋" w:hAnsi="仿宋" w:eastAsia="仿宋" w:cs="仿宋"/>
          <w:sz w:val="32"/>
          <w:szCs w:val="32"/>
        </w:rPr>
        <w:t>万元，上划个人所得税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485</w:t>
      </w:r>
      <w:r>
        <w:rPr>
          <w:rFonts w:hint="eastAsia" w:ascii="仿宋" w:hAnsi="仿宋" w:eastAsia="仿宋" w:cs="仿宋"/>
          <w:sz w:val="32"/>
          <w:szCs w:val="32"/>
        </w:rPr>
        <w:t>万元，上划企业所得税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1347</w:t>
      </w:r>
      <w:r>
        <w:rPr>
          <w:rFonts w:hint="eastAsia" w:ascii="仿宋" w:hAnsi="仿宋" w:eastAsia="仿宋" w:cs="仿宋"/>
          <w:sz w:val="32"/>
          <w:szCs w:val="32"/>
        </w:rPr>
        <w:t>万元，上划城镇土地使用税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1405</w:t>
      </w:r>
      <w:r>
        <w:rPr>
          <w:rFonts w:hint="eastAsia" w:ascii="仿宋" w:hAnsi="仿宋" w:eastAsia="仿宋" w:cs="仿宋"/>
          <w:sz w:val="32"/>
          <w:szCs w:val="32"/>
        </w:rPr>
        <w:t>万元，上划省级资源税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2782</w:t>
      </w:r>
      <w:r>
        <w:rPr>
          <w:rFonts w:hint="eastAsia" w:ascii="仿宋" w:hAnsi="仿宋" w:eastAsia="仿宋" w:cs="仿宋"/>
          <w:sz w:val="32"/>
          <w:szCs w:val="32"/>
        </w:rPr>
        <w:t>万元，上划环境保护税4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万元）。</w:t>
      </w:r>
    </w:p>
    <w:p w14:paraId="35232913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税务部门完成收入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147049</w:t>
      </w:r>
      <w:r>
        <w:rPr>
          <w:rFonts w:hint="eastAsia" w:ascii="仿宋" w:hAnsi="仿宋" w:eastAsia="仿宋" w:cs="仿宋"/>
          <w:sz w:val="32"/>
          <w:szCs w:val="32"/>
        </w:rPr>
        <w:t>万元，（其中：增值税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71509</w:t>
      </w:r>
      <w:r>
        <w:rPr>
          <w:rFonts w:hint="eastAsia" w:ascii="仿宋" w:hAnsi="仿宋" w:eastAsia="仿宋" w:cs="仿宋"/>
          <w:sz w:val="32"/>
          <w:szCs w:val="32"/>
        </w:rPr>
        <w:t>万元，企业所得税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11180</w:t>
      </w:r>
      <w:r>
        <w:rPr>
          <w:rFonts w:hint="eastAsia" w:ascii="仿宋" w:hAnsi="仿宋" w:eastAsia="仿宋" w:cs="仿宋"/>
          <w:sz w:val="32"/>
          <w:szCs w:val="32"/>
        </w:rPr>
        <w:t>万元，个人所得税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4038</w:t>
      </w:r>
      <w:r>
        <w:rPr>
          <w:rFonts w:hint="eastAsia" w:ascii="仿宋" w:hAnsi="仿宋" w:eastAsia="仿宋" w:cs="仿宋"/>
          <w:sz w:val="32"/>
          <w:szCs w:val="32"/>
        </w:rPr>
        <w:t>万元，消费税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6383</w:t>
      </w:r>
      <w:r>
        <w:rPr>
          <w:rFonts w:hint="eastAsia" w:ascii="仿宋" w:hAnsi="仿宋" w:eastAsia="仿宋" w:cs="仿宋"/>
          <w:sz w:val="32"/>
          <w:szCs w:val="32"/>
        </w:rPr>
        <w:t>万元），比上年完成收入14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2645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4402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3.09</w:t>
      </w:r>
      <w:r>
        <w:rPr>
          <w:rFonts w:hint="eastAsia" w:ascii="仿宋" w:hAnsi="仿宋" w:eastAsia="仿宋" w:cs="仿宋"/>
          <w:sz w:val="32"/>
          <w:szCs w:val="32"/>
        </w:rPr>
        <w:t>%；财政部门完成地方一般预算收入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74858</w:t>
      </w:r>
      <w:r>
        <w:rPr>
          <w:rFonts w:hint="eastAsia" w:ascii="仿宋" w:hAnsi="仿宋" w:eastAsia="仿宋" w:cs="仿宋"/>
          <w:sz w:val="32"/>
          <w:szCs w:val="32"/>
        </w:rPr>
        <w:t>万元，比上年完成收入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62295</w:t>
      </w:r>
      <w:r>
        <w:rPr>
          <w:rFonts w:hint="eastAsia" w:ascii="仿宋" w:hAnsi="仿宋" w:eastAsia="仿宋" w:cs="仿宋"/>
          <w:sz w:val="32"/>
          <w:szCs w:val="32"/>
        </w:rPr>
        <w:t>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12563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20.17</w:t>
      </w:r>
      <w:r>
        <w:rPr>
          <w:rFonts w:hint="eastAsia" w:ascii="仿宋" w:hAnsi="仿宋" w:eastAsia="仿宋" w:cs="仿宋"/>
          <w:sz w:val="32"/>
          <w:szCs w:val="32"/>
        </w:rPr>
        <w:t>%，此外，完成上划中央“两税”收入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35769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33569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2200</w:t>
      </w:r>
      <w:r>
        <w:rPr>
          <w:rFonts w:hint="eastAsia" w:ascii="仿宋" w:hAnsi="仿宋" w:eastAsia="仿宋" w:cs="仿宋"/>
          <w:sz w:val="32"/>
          <w:szCs w:val="32"/>
        </w:rPr>
        <w:t xml:space="preserve">万元,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6.55</w:t>
      </w:r>
      <w:r>
        <w:rPr>
          <w:rFonts w:hint="eastAsia" w:ascii="仿宋" w:hAnsi="仿宋" w:eastAsia="仿宋" w:cs="仿宋"/>
          <w:sz w:val="32"/>
          <w:szCs w:val="32"/>
        </w:rPr>
        <w:t>%;完成上划企业及个人所得税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9131</w:t>
      </w:r>
      <w:r>
        <w:rPr>
          <w:rFonts w:hint="eastAsia" w:ascii="仿宋" w:hAnsi="仿宋" w:eastAsia="仿宋" w:cs="仿宋"/>
          <w:sz w:val="32"/>
          <w:szCs w:val="32"/>
        </w:rPr>
        <w:t>万元,比上年完成1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0372</w:t>
      </w:r>
      <w:r>
        <w:rPr>
          <w:rFonts w:hint="eastAsia" w:ascii="仿宋" w:hAnsi="仿宋" w:eastAsia="仿宋" w:cs="仿宋"/>
          <w:sz w:val="32"/>
          <w:szCs w:val="32"/>
        </w:rPr>
        <w:t>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1241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11.96</w:t>
      </w:r>
      <w:r>
        <w:rPr>
          <w:rFonts w:hint="eastAsia" w:ascii="仿宋" w:hAnsi="仿宋" w:eastAsia="仿宋" w:cs="仿宋"/>
          <w:sz w:val="32"/>
          <w:szCs w:val="32"/>
        </w:rPr>
        <w:t>%。税收比重为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63.39</w:t>
      </w:r>
      <w:r>
        <w:rPr>
          <w:rFonts w:hint="eastAsia" w:ascii="仿宋" w:hAnsi="仿宋" w:eastAsia="仿宋" w:cs="仿宋"/>
          <w:sz w:val="32"/>
          <w:szCs w:val="32"/>
        </w:rPr>
        <w:t>%，非税比重为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36.61</w:t>
      </w:r>
      <w:r>
        <w:rPr>
          <w:rFonts w:hint="eastAsia" w:ascii="仿宋" w:hAnsi="仿宋" w:eastAsia="仿宋" w:cs="仿宋"/>
          <w:sz w:val="32"/>
          <w:szCs w:val="32"/>
        </w:rPr>
        <w:t>%，非税比重比去年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37.05</w:t>
      </w:r>
      <w:r>
        <w:rPr>
          <w:rFonts w:hint="eastAsia" w:ascii="仿宋" w:hAnsi="仿宋" w:eastAsia="仿宋" w:cs="仿宋"/>
          <w:sz w:val="32"/>
          <w:szCs w:val="32"/>
        </w:rPr>
        <w:t>%有所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0.44</w:t>
      </w:r>
      <w:r>
        <w:rPr>
          <w:rFonts w:hint="eastAsia" w:ascii="仿宋" w:hAnsi="仿宋" w:eastAsia="仿宋" w:cs="仿宋"/>
          <w:sz w:val="32"/>
          <w:szCs w:val="32"/>
        </w:rPr>
        <w:t>个百分点。</w:t>
      </w:r>
    </w:p>
    <w:p w14:paraId="13C85F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一般公共预算收支平衡情况：一般公共预算总收入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661997</w:t>
      </w:r>
      <w:r>
        <w:rPr>
          <w:rFonts w:hint="eastAsia" w:ascii="仿宋" w:hAnsi="仿宋" w:eastAsia="仿宋" w:cs="仿宋"/>
          <w:sz w:val="32"/>
          <w:szCs w:val="32"/>
        </w:rPr>
        <w:t>万元。其中：202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年全市共完成本级地方财政收入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162044</w:t>
      </w:r>
      <w:r>
        <w:rPr>
          <w:rFonts w:hint="eastAsia" w:ascii="仿宋" w:hAnsi="仿宋" w:eastAsia="仿宋" w:cs="仿宋"/>
          <w:sz w:val="32"/>
          <w:szCs w:val="32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346550</w:t>
      </w:r>
      <w:r>
        <w:rPr>
          <w:rFonts w:hint="eastAsia" w:ascii="仿宋" w:hAnsi="仿宋" w:eastAsia="仿宋" w:cs="仿宋"/>
          <w:sz w:val="32"/>
          <w:szCs w:val="32"/>
        </w:rPr>
        <w:t>万元，政府债券收入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56900</w:t>
      </w:r>
      <w:r>
        <w:rPr>
          <w:rFonts w:hint="eastAsia" w:ascii="仿宋" w:hAnsi="仿宋" w:eastAsia="仿宋" w:cs="仿宋"/>
          <w:sz w:val="32"/>
          <w:szCs w:val="32"/>
        </w:rPr>
        <w:t>万元，上年结余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78134</w:t>
      </w:r>
      <w:r>
        <w:rPr>
          <w:rFonts w:hint="eastAsia" w:ascii="仿宋" w:hAnsi="仿宋" w:eastAsia="仿宋" w:cs="仿宋"/>
          <w:sz w:val="32"/>
          <w:szCs w:val="32"/>
        </w:rPr>
        <w:t>万元，调入资金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17484</w:t>
      </w:r>
      <w:r>
        <w:rPr>
          <w:rFonts w:hint="eastAsia" w:ascii="仿宋" w:hAnsi="仿宋" w:eastAsia="仿宋" w:cs="仿宋"/>
          <w:sz w:val="32"/>
          <w:szCs w:val="32"/>
        </w:rPr>
        <w:t>万元，动用预算稳定调节基金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885</w:t>
      </w:r>
      <w:r>
        <w:rPr>
          <w:rFonts w:hint="eastAsia" w:ascii="仿宋" w:hAnsi="仿宋" w:eastAsia="仿宋" w:cs="仿宋"/>
          <w:sz w:val="32"/>
          <w:szCs w:val="32"/>
        </w:rPr>
        <w:t>万元；当年本级实际支出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590936</w:t>
      </w:r>
      <w:r>
        <w:rPr>
          <w:rFonts w:hint="eastAsia" w:ascii="仿宋" w:hAnsi="仿宋" w:eastAsia="仿宋" w:cs="仿宋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10559</w:t>
      </w:r>
      <w:r>
        <w:rPr>
          <w:rFonts w:hint="eastAsia" w:ascii="仿宋" w:hAnsi="仿宋" w:eastAsia="仿宋" w:cs="仿宋"/>
          <w:sz w:val="32"/>
          <w:szCs w:val="32"/>
        </w:rPr>
        <w:t>万元，地方政府一般债务还本支出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49524</w:t>
      </w:r>
      <w:r>
        <w:rPr>
          <w:rFonts w:hint="eastAsia" w:ascii="仿宋" w:hAnsi="仿宋" w:eastAsia="仿宋" w:cs="仿宋"/>
          <w:sz w:val="32"/>
          <w:szCs w:val="32"/>
        </w:rPr>
        <w:t>万元，安排预算稳定调节基金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893</w:t>
      </w:r>
      <w:r>
        <w:rPr>
          <w:rFonts w:hint="eastAsia" w:ascii="仿宋" w:hAnsi="仿宋" w:eastAsia="仿宋" w:cs="仿宋"/>
          <w:sz w:val="32"/>
          <w:szCs w:val="32"/>
        </w:rPr>
        <w:t>万元，年终实际滚存结余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10085</w:t>
      </w:r>
      <w:r>
        <w:rPr>
          <w:rFonts w:hint="eastAsia" w:ascii="仿宋" w:hAnsi="仿宋" w:eastAsia="仿宋" w:cs="仿宋"/>
          <w:sz w:val="32"/>
          <w:szCs w:val="32"/>
        </w:rPr>
        <w:t>万元，总支出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661997</w:t>
      </w:r>
      <w:r>
        <w:rPr>
          <w:rFonts w:hint="eastAsia" w:ascii="仿宋" w:hAnsi="仿宋" w:eastAsia="仿宋" w:cs="仿宋"/>
          <w:sz w:val="32"/>
          <w:szCs w:val="32"/>
        </w:rPr>
        <w:t>万元，实现了财政预算收支平衡。</w:t>
      </w:r>
    </w:p>
    <w:p w14:paraId="113C47C6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2、按收入构成区分。完成增值税收入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71509</w:t>
      </w:r>
      <w:r>
        <w:rPr>
          <w:rFonts w:hint="eastAsia" w:ascii="仿宋" w:hAnsi="仿宋" w:eastAsia="仿宋" w:cs="仿宋"/>
          <w:sz w:val="32"/>
          <w:szCs w:val="32"/>
        </w:rPr>
        <w:t>万元，比上年完成67093万元，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4416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6.58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完成企业所得税收入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11180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万元,比上年完成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13676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2496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%；完成个人所得税收入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万元,比上年完成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11.79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</w:rPr>
        <w:t>完成消费税收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39.13</w:t>
      </w:r>
      <w:r>
        <w:rPr>
          <w:rFonts w:hint="eastAsia" w:ascii="仿宋" w:hAnsi="仿宋" w:eastAsia="仿宋" w:cs="仿宋"/>
          <w:sz w:val="32"/>
          <w:szCs w:val="32"/>
        </w:rPr>
        <w:t>%；完成资源税收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11129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4862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6267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128.90</w:t>
      </w:r>
      <w:r>
        <w:rPr>
          <w:rFonts w:hint="eastAsia" w:ascii="仿宋" w:hAnsi="仿宋" w:eastAsia="仿宋" w:cs="仿宋"/>
          <w:sz w:val="32"/>
          <w:szCs w:val="32"/>
        </w:rPr>
        <w:t>%；完成城市维护建设税收入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4691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3920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19.67</w:t>
      </w:r>
      <w:r>
        <w:rPr>
          <w:rFonts w:hint="eastAsia" w:ascii="仿宋" w:hAnsi="仿宋" w:eastAsia="仿宋" w:cs="仿宋"/>
          <w:sz w:val="32"/>
          <w:szCs w:val="32"/>
        </w:rPr>
        <w:t>%；完成房产税收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6057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4078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48.53</w:t>
      </w:r>
      <w:r>
        <w:rPr>
          <w:rFonts w:hint="eastAsia" w:ascii="仿宋" w:hAnsi="仿宋" w:eastAsia="仿宋" w:cs="仿宋"/>
          <w:sz w:val="32"/>
          <w:szCs w:val="32"/>
        </w:rPr>
        <w:t>%；完成印花税收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620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67.66</w:t>
      </w:r>
      <w:r>
        <w:rPr>
          <w:rFonts w:hint="eastAsia" w:ascii="仿宋" w:hAnsi="仿宋" w:eastAsia="仿宋" w:cs="仿宋"/>
          <w:sz w:val="32"/>
          <w:szCs w:val="32"/>
        </w:rPr>
        <w:t>%；完成城镇土地使用税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4683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2266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2417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106.66</w:t>
      </w:r>
      <w:r>
        <w:rPr>
          <w:rFonts w:hint="eastAsia" w:ascii="仿宋" w:hAnsi="仿宋" w:eastAsia="仿宋" w:cs="仿宋"/>
          <w:sz w:val="32"/>
          <w:szCs w:val="32"/>
        </w:rPr>
        <w:t>%；完成土地增值税收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4170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14478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10308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71.20</w:t>
      </w:r>
      <w:r>
        <w:rPr>
          <w:rFonts w:hint="eastAsia" w:ascii="仿宋" w:hAnsi="仿宋" w:eastAsia="仿宋" w:cs="仿宋"/>
          <w:sz w:val="32"/>
          <w:szCs w:val="32"/>
        </w:rPr>
        <w:t>%；完成车船税收入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1788</w:t>
      </w:r>
      <w:r>
        <w:rPr>
          <w:rFonts w:hint="eastAsia" w:ascii="仿宋" w:hAnsi="仿宋" w:eastAsia="仿宋" w:cs="仿宋"/>
          <w:sz w:val="32"/>
          <w:szCs w:val="32"/>
        </w:rPr>
        <w:t>万元；完成耕地占用税收入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14019</w:t>
      </w:r>
      <w:r>
        <w:rPr>
          <w:rFonts w:hint="eastAsia" w:ascii="仿宋" w:hAnsi="仿宋" w:eastAsia="仿宋" w:cs="仿宋"/>
          <w:sz w:val="32"/>
          <w:szCs w:val="32"/>
        </w:rPr>
        <w:t>万元；契税收入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6649</w:t>
      </w:r>
      <w:r>
        <w:rPr>
          <w:rFonts w:hint="eastAsia" w:ascii="仿宋" w:hAnsi="仿宋" w:eastAsia="仿宋" w:cs="仿宋"/>
          <w:sz w:val="32"/>
          <w:szCs w:val="32"/>
        </w:rPr>
        <w:t>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10859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4210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38.77</w:t>
      </w:r>
      <w:r>
        <w:rPr>
          <w:rFonts w:hint="eastAsia" w:ascii="仿宋" w:hAnsi="仿宋" w:eastAsia="仿宋" w:cs="仿宋"/>
          <w:sz w:val="32"/>
          <w:szCs w:val="32"/>
        </w:rPr>
        <w:t>%；完成环境保护税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119</w:t>
      </w:r>
      <w:r>
        <w:rPr>
          <w:rFonts w:hint="eastAsia" w:ascii="仿宋" w:hAnsi="仿宋" w:eastAsia="仿宋" w:cs="仿宋"/>
          <w:sz w:val="32"/>
          <w:szCs w:val="32"/>
        </w:rPr>
        <w:t>，比上年完成1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16.78</w:t>
      </w:r>
      <w:r>
        <w:rPr>
          <w:rFonts w:hint="eastAsia" w:ascii="仿宋" w:hAnsi="仿宋" w:eastAsia="仿宋" w:cs="仿宋"/>
          <w:sz w:val="32"/>
          <w:szCs w:val="32"/>
        </w:rPr>
        <w:t>%；完成非税专项收入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5151</w:t>
      </w:r>
      <w:r>
        <w:rPr>
          <w:rFonts w:hint="eastAsia" w:ascii="仿宋" w:hAnsi="仿宋" w:eastAsia="仿宋" w:cs="仿宋"/>
          <w:sz w:val="32"/>
          <w:szCs w:val="32"/>
        </w:rPr>
        <w:t>万元，行政事业性收费收入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4850</w:t>
      </w:r>
      <w:r>
        <w:rPr>
          <w:rFonts w:hint="eastAsia" w:ascii="仿宋" w:hAnsi="仿宋" w:eastAsia="仿宋" w:cs="仿宋"/>
          <w:sz w:val="32"/>
          <w:szCs w:val="32"/>
        </w:rPr>
        <w:t>万元，罚没收入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21496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国有资源（资产）有偿使用收入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45617</w:t>
      </w:r>
      <w:r>
        <w:rPr>
          <w:rFonts w:hint="eastAsia" w:ascii="仿宋" w:hAnsi="仿宋" w:eastAsia="仿宋" w:cs="仿宋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4127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A14C963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完成本级一般公共预算收入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162044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8.60</w:t>
      </w:r>
      <w:r>
        <w:rPr>
          <w:rFonts w:hint="eastAsia" w:ascii="仿宋" w:hAnsi="仿宋" w:eastAsia="仿宋" w:cs="仿宋"/>
          <w:sz w:val="32"/>
          <w:szCs w:val="32"/>
        </w:rPr>
        <w:t>%。其中：税务系统完成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87186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0.31</w:t>
      </w:r>
      <w:r>
        <w:rPr>
          <w:rFonts w:hint="eastAsia" w:ascii="仿宋" w:hAnsi="仿宋" w:eastAsia="仿宋" w:cs="仿宋"/>
          <w:sz w:val="32"/>
          <w:szCs w:val="32"/>
        </w:rPr>
        <w:t>%，财政及相关执收单位完成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74858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20.17</w:t>
      </w:r>
      <w:r>
        <w:rPr>
          <w:rFonts w:hint="eastAsia" w:ascii="仿宋" w:hAnsi="仿宋" w:eastAsia="仿宋" w:cs="仿宋"/>
          <w:sz w:val="32"/>
          <w:szCs w:val="32"/>
        </w:rPr>
        <w:t>%。从结构看，税收收入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80803</w:t>
      </w:r>
      <w:r>
        <w:rPr>
          <w:rFonts w:hint="eastAsia" w:ascii="仿宋" w:hAnsi="仿宋" w:eastAsia="仿宋" w:cs="仿宋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10.26</w:t>
      </w:r>
      <w:r>
        <w:rPr>
          <w:rFonts w:hint="eastAsia" w:ascii="仿宋" w:hAnsi="仿宋" w:eastAsia="仿宋" w:cs="仿宋"/>
          <w:sz w:val="32"/>
          <w:szCs w:val="32"/>
        </w:rPr>
        <w:t>%，占本级一般公共预算收入的比重为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49.86</w:t>
      </w:r>
      <w:r>
        <w:rPr>
          <w:rFonts w:hint="eastAsia" w:ascii="仿宋" w:hAnsi="仿宋" w:eastAsia="仿宋" w:cs="仿宋"/>
          <w:sz w:val="32"/>
          <w:szCs w:val="32"/>
        </w:rPr>
        <w:t>%；非税收入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81241</w:t>
      </w:r>
      <w:r>
        <w:rPr>
          <w:rFonts w:hint="eastAsia" w:ascii="仿宋" w:hAnsi="仿宋" w:eastAsia="仿宋" w:cs="仿宋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6.99</w:t>
      </w:r>
      <w:r>
        <w:rPr>
          <w:rFonts w:hint="eastAsia" w:ascii="仿宋" w:hAnsi="仿宋" w:eastAsia="仿宋" w:cs="仿宋"/>
          <w:sz w:val="32"/>
          <w:szCs w:val="32"/>
        </w:rPr>
        <w:t>%,占本级一般公共预算收入的比重为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50.14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66F2710C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3、财政支出完成情况。202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年当年共实现一般预算支出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590936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为调整预算支出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601021</w:t>
      </w:r>
      <w:r>
        <w:rPr>
          <w:rFonts w:hint="eastAsia" w:ascii="仿宋" w:hAnsi="仿宋" w:eastAsia="仿宋" w:cs="仿宋"/>
          <w:sz w:val="32"/>
          <w:szCs w:val="32"/>
        </w:rPr>
        <w:t>万元的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98.32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556534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34402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%。从支出的构成来看：202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45088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11493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20.31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%；国防支出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90.24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20694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%；教育支出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100838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97535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41424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35571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607.74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%；文化体育与传媒支出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3796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118254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93786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24468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30980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31536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1.76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17954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%;城乡社区支出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34061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25819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8242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%；农林水支出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118089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115848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%；交通运输支出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16145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32518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16373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%；资源勘探信息等支出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2377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781.91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%；金融支出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万元，比去年支出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3916.67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%；自然资源海洋气象支出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7436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16342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24184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7842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%；粮油物资支出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6183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2398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63.36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%；灾害防治及应急管理支出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3558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%；其他支出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1163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60.10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11858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1C16CB16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（二）政府性基金预算收支执行情况</w:t>
      </w:r>
    </w:p>
    <w:p w14:paraId="181CD889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政府性基金预算收入完成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17114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万元，其中:国有土地使用权出让收入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14537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万元，城市基础设施配套费收入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万元，车辆通行费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万元，污水处理费收入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1240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 </w:t>
      </w:r>
    </w:p>
    <w:p w14:paraId="5D1889D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政府性基金预算支出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105873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万元，其中: 国家电影事业发展专项资金相关支出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万元，国有土地使用权出让相关支出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17175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万元，城市基础设施配套费安排的支出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万元，污水处理费相关支出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1340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农林水相关支出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1954万元，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其他政府性基金及对应专项债务收入安排的支出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73500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彩票发行相关支出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彩票公益金相关支出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万元，地方政府专项债务付息支出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万元。上年基金结余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万元，上级补助收入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19674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万元，债务转贷收入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140400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债务还本支出51050万元，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收支相抵后，基金结余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27959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7CC2A677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二、财政收支分析</w:t>
      </w:r>
    </w:p>
    <w:p w14:paraId="2A95CA84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年预算收支执行情况来看，呈现出财政收入平稳增长，保工资、保运转、保稳定、保民生等保障性支出全额保障的特点，公共财政职能进一步凸显，主要体现在：</w:t>
      </w:r>
    </w:p>
    <w:p w14:paraId="6B3C20CE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一是财政收入实现新突破。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各征收部门积极应对宏观经济波动、结构性减税政策和经济下行等不利影响，依法组织财政收入。完成本级一般公共预算收入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162044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8.60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%。其中：税务系统完成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87186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0.31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%，财政及相关执收单位完成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74858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%。从结构看，税收收入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80803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%，占本级一般公共预算收入的比重为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%；非税收入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81241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6.99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%,占本级一般公共预算收入的比重为5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69D2A536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二是支出规模达到新高度。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面对巨大的增支压力，我们继续加大资金统筹力度，调整优化支出结构，全力保障市委、市政府重大决策部署实施，实现了财政支出规模持续壮大的目标。一般公共预算支出实现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5900936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689BDE69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三是支出结构得到新改善。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财政部门在狠抓收入的同时，想方设法组织资金，全力确保工资、正常运转、民生民本及重点支出的需要，促进了经济社会事业协调发展。其中：一般公共服务支出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45088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20694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万元；教育支出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100838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41424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118254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30980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34061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62CD4839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四是向上争资实现新跨越。</w:t>
      </w:r>
    </w:p>
    <w:p w14:paraId="7A9683E2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年争取上级转移支付资金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346550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万元，缓解了财政支出压力；转贷地方债券收入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56900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万元，有力支持了各项事业的发展。</w:t>
      </w:r>
    </w:p>
    <w:p w14:paraId="3E1E78E4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三、收支平衡情况</w:t>
      </w:r>
    </w:p>
    <w:p w14:paraId="687CA64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年全市共完成本级地方财政收入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162044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346550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万元，转贷地方债券收入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56900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万元，上年结余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万元，调入资金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17484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万元，动用预算稳定调节基金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万元；当年本级实际支出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590936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10559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万元，地方政府一般债务还本支出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49524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万元，安排预算稳定调节基金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万元，年终实际滚存结余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7480F44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四、人员机构编制及年末人数增减情况</w:t>
      </w:r>
    </w:p>
    <w:p w14:paraId="2C88AB32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（一）机构变动情况</w:t>
      </w:r>
    </w:p>
    <w:p w14:paraId="18C8B544">
      <w:pPr>
        <w:pStyle w:val="4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机构变动情况，202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年度比较年末机构总数净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具体变化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撤销5个单位，分别为沅江市南大膳镇双丰小学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沅江市南大膳镇永交小学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沅江市南大膳镇北大市小学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沅江市泗湖山镇西华小学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、沅江市新湾镇中心小学；新增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4个单位，分别为</w:t>
      </w:r>
      <w:r>
        <w:rPr>
          <w:rFonts w:hint="eastAsia" w:ascii="仿宋_GB2312" w:hAnsi="仿宋" w:eastAsia="仿宋_GB2312"/>
          <w:sz w:val="32"/>
          <w:szCs w:val="32"/>
        </w:rPr>
        <w:t>沅江市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第二殡仪馆、沅江市城南实验学校、</w:t>
      </w:r>
      <w:r>
        <w:rPr>
          <w:rFonts w:hint="eastAsia" w:ascii="仿宋_GB2312" w:hAnsi="仿宋" w:eastAsia="仿宋_GB2312"/>
          <w:sz w:val="32"/>
          <w:szCs w:val="32"/>
        </w:rPr>
        <w:t>沅江市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琼湖小学、沅江市水岸琼湖幼儿园。</w:t>
      </w:r>
    </w:p>
    <w:p w14:paraId="3EFD2936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（二）年末人数变动情况</w:t>
      </w:r>
    </w:p>
    <w:p w14:paraId="2333F714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年末实有人数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12329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人，比去年同期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12954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人相比减少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人。主要因素为由养老保险基金发放养老金的离退休人员不包含在内，因养老保险改革，纳入社会保险局统一管理，退休人员减少。 </w:t>
      </w:r>
    </w:p>
    <w:p w14:paraId="0B702439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（三）一般公共预算财政拨款开支人员</w:t>
      </w:r>
    </w:p>
    <w:p w14:paraId="448A7C6A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年度一般公共财政拨款开支人数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12003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人，其中在职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11998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人（含行政人员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人、参照公务员法管理事业人员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人、非参公事业人员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人），离休人员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 w14:paraId="019E5D0D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一般公共预算“三公”经费决算执行情况</w:t>
      </w:r>
    </w:p>
    <w:p w14:paraId="703712FD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一般公共预算“三公”经费年初预算数为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690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万元,决算数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，因公出国（境）费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4BA39C18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六、认真谋划202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年各项财政工作</w:t>
      </w:r>
    </w:p>
    <w:p w14:paraId="3E87258F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收入方面。一是加强税收收入征管。进一步完善协税护税机制，将财源建设和组织收入任务落实到相关部门，增强了征管责任意识和工作主动性。强化税收征管，挖掘增收潜力，确保了各项税收收入的及时足额入库；二是加强非税收入管理。通过规范非税收入征管，严格执行“收支两条线”管理，确保各项非税收入及时、足额缴入国库或财政专户。</w:t>
      </w:r>
    </w:p>
    <w:p w14:paraId="491B5B3E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支出方面。继续优化财政支出结构，把有限的财力用在保障民生、促进发展发面，确保教育、就业、社保、医疗卫生、涉农补贴等民生投入。严格财政支出管理，及时足额拨付各项资金，增强资金支出的均衡性、有效性，健全预算绩效管理体系，提高预算执行的准确率。同时，认真贯彻落实中央、省关于党政机关厉行节约反对浪费的要求，严格执行会议费、因公出国（境）经费、差旅费、接待费等管理办法，压缩一般性支出规模，提高财政资金的使用效益，努力实现全年预算平衡。</w:t>
      </w:r>
    </w:p>
    <w:p w14:paraId="3489543F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（三）在202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工作基础上继续做好暂存、暂付款的清理工作。一是做好暂存款的清理工作，特别是加强对两年及以上的存量资金进行清理，按规定可以收回的资金，全部收回由政府统筹安排，提高财政资金使用效率；二是进一步加大对财政借款资金的清理力度，及时清理超过协议约定归还期限的借款，严格控制新增财政借款，加强财政借款的管理工作，做好财政借款的核算工作。</w:t>
      </w:r>
    </w:p>
    <w:p w14:paraId="1F13FDCD">
      <w:pPr>
        <w:ind w:firstLine="630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年，我们将在上级财政部门和市委的坚强领导下，在市人大、市政协的监督与支持下，进一步解放思想、开拓创新、奋发有为、扎实工作，确保全年各项财政工作任务圆满完成，努力实现我市经济又好又快发展。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9533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E70F020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1F66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711FFF"/>
    <w:rsid w:val="000B2BAB"/>
    <w:rsid w:val="000E1277"/>
    <w:rsid w:val="00210E39"/>
    <w:rsid w:val="0026670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A96B04"/>
    <w:rsid w:val="00C05651"/>
    <w:rsid w:val="00C12A24"/>
    <w:rsid w:val="00C27217"/>
    <w:rsid w:val="00CF379D"/>
    <w:rsid w:val="00CF74FA"/>
    <w:rsid w:val="00D52BE4"/>
    <w:rsid w:val="00DA6DCD"/>
    <w:rsid w:val="00E2752B"/>
    <w:rsid w:val="00F44257"/>
    <w:rsid w:val="04067CD3"/>
    <w:rsid w:val="05C807C9"/>
    <w:rsid w:val="06F34F15"/>
    <w:rsid w:val="07746427"/>
    <w:rsid w:val="080441C2"/>
    <w:rsid w:val="0C7E0879"/>
    <w:rsid w:val="0EBA76E9"/>
    <w:rsid w:val="111C188F"/>
    <w:rsid w:val="11F5637B"/>
    <w:rsid w:val="13FD740D"/>
    <w:rsid w:val="156E68C1"/>
    <w:rsid w:val="15F415B1"/>
    <w:rsid w:val="193A68C8"/>
    <w:rsid w:val="1A352368"/>
    <w:rsid w:val="1AC32947"/>
    <w:rsid w:val="1B1F5B70"/>
    <w:rsid w:val="1E786C85"/>
    <w:rsid w:val="1F6108FB"/>
    <w:rsid w:val="213E42D2"/>
    <w:rsid w:val="22040184"/>
    <w:rsid w:val="23D53DE9"/>
    <w:rsid w:val="24933135"/>
    <w:rsid w:val="24D537B8"/>
    <w:rsid w:val="24FD2D39"/>
    <w:rsid w:val="269456EF"/>
    <w:rsid w:val="28FA1E6A"/>
    <w:rsid w:val="2B091B55"/>
    <w:rsid w:val="2BB369DB"/>
    <w:rsid w:val="2F2B645A"/>
    <w:rsid w:val="3397572E"/>
    <w:rsid w:val="37FB709F"/>
    <w:rsid w:val="3B573D4C"/>
    <w:rsid w:val="3BAF127E"/>
    <w:rsid w:val="3E37414A"/>
    <w:rsid w:val="41351C11"/>
    <w:rsid w:val="41792626"/>
    <w:rsid w:val="485A1255"/>
    <w:rsid w:val="491C2048"/>
    <w:rsid w:val="4AE838EB"/>
    <w:rsid w:val="4DE909B1"/>
    <w:rsid w:val="4E6F2527"/>
    <w:rsid w:val="4F2C641E"/>
    <w:rsid w:val="4F416ABD"/>
    <w:rsid w:val="4F671670"/>
    <w:rsid w:val="50616E83"/>
    <w:rsid w:val="506A5D0B"/>
    <w:rsid w:val="50951C17"/>
    <w:rsid w:val="50E77189"/>
    <w:rsid w:val="5105175F"/>
    <w:rsid w:val="52246F0F"/>
    <w:rsid w:val="52B0453B"/>
    <w:rsid w:val="53231A63"/>
    <w:rsid w:val="565829D0"/>
    <w:rsid w:val="565A2510"/>
    <w:rsid w:val="57B5771E"/>
    <w:rsid w:val="57E411DB"/>
    <w:rsid w:val="5C47619F"/>
    <w:rsid w:val="5C89757F"/>
    <w:rsid w:val="5DE472FE"/>
    <w:rsid w:val="5F3F76F9"/>
    <w:rsid w:val="606D2F4C"/>
    <w:rsid w:val="61315708"/>
    <w:rsid w:val="63896B77"/>
    <w:rsid w:val="64A230D4"/>
    <w:rsid w:val="64B17184"/>
    <w:rsid w:val="64EB5F64"/>
    <w:rsid w:val="66BF7027"/>
    <w:rsid w:val="6A670435"/>
    <w:rsid w:val="6EF708B3"/>
    <w:rsid w:val="702D0500"/>
    <w:rsid w:val="720F0AE2"/>
    <w:rsid w:val="73380A67"/>
    <w:rsid w:val="735D5FD3"/>
    <w:rsid w:val="747000F9"/>
    <w:rsid w:val="77023D2A"/>
    <w:rsid w:val="78295B36"/>
    <w:rsid w:val="7C75015C"/>
    <w:rsid w:val="7E932097"/>
    <w:rsid w:val="7F3A11FD"/>
    <w:rsid w:val="7FA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4260</Words>
  <Characters>5324</Characters>
  <Lines>38</Lines>
  <Paragraphs>10</Paragraphs>
  <TotalTime>0</TotalTime>
  <ScaleCrop>false</ScaleCrop>
  <LinksUpToDate>false</LinksUpToDate>
  <CharactersWithSpaces>5328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WPS_李中秋</cp:lastModifiedBy>
  <cp:lastPrinted>2023-08-22T09:03:00Z</cp:lastPrinted>
  <dcterms:modified xsi:type="dcterms:W3CDTF">2025-10-27T06:40:58Z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5BEC56609E044F28B24F24E6E3961E28</vt:lpwstr>
  </property>
  <property fmtid="{D5CDD505-2E9C-101B-9397-08002B2CF9AE}" pid="4" name="KSOTemplateDocerSaveRecord">
    <vt:lpwstr>eyJoZGlkIjoiMjU3ZTI0ZTYzOTYyYzQ2NDNlNDM0MjUzNTEwMDE2OTYiLCJ1c2VySWQiOiIxNDE2OTIxMjg4In0=</vt:lpwstr>
  </property>
</Properties>
</file>