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86EFB">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b/>
          <w:bCs/>
          <w:sz w:val="44"/>
          <w:szCs w:val="44"/>
          <w:lang w:val="en-US" w:eastAsia="zh-CN"/>
        </w:rPr>
        <w:t>2023年沅江市财政局预算</w:t>
      </w:r>
      <w:r>
        <w:rPr>
          <w:rFonts w:hint="eastAsia" w:ascii="方正小标宋简体" w:hAnsi="方正小标宋简体" w:eastAsia="方正小标宋简体" w:cs="方正小标宋简体"/>
          <w:b/>
          <w:bCs/>
          <w:sz w:val="44"/>
          <w:szCs w:val="44"/>
          <w:lang w:eastAsia="zh-CN"/>
        </w:rPr>
        <w:t>绩效工作总结</w:t>
      </w:r>
    </w:p>
    <w:p w14:paraId="61097DFD">
      <w:pPr>
        <w:pStyle w:val="12"/>
        <w:keepNext w:val="0"/>
        <w:keepLines w:val="0"/>
        <w:pageBreakBefore w:val="0"/>
        <w:widowControl w:val="0"/>
        <w:kinsoku/>
        <w:wordWrap/>
        <w:overflowPunct/>
        <w:topLinePunct w:val="0"/>
        <w:autoSpaceDE/>
        <w:autoSpaceDN/>
        <w:bidi w:val="0"/>
        <w:adjustRightInd/>
        <w:spacing w:line="600" w:lineRule="exact"/>
        <w:ind w:firstLine="700" w:firstLineChars="200"/>
        <w:jc w:val="both"/>
        <w:textAlignment w:val="auto"/>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pPr>
      <w:r>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t>2023年，沅江市财政局秉持“全过程、全方位”的财政绩效管理理念，按照预算绩效管理职能职责，以及省厅工作考核要求，较好地完成了既定的工作任务，取得了一定的成绩，但也存在一些问题。现将有关工作情况汇报如下：</w:t>
      </w:r>
    </w:p>
    <w:p w14:paraId="5C25C695">
      <w:pPr>
        <w:keepNext w:val="0"/>
        <w:keepLines w:val="0"/>
        <w:pageBreakBefore w:val="0"/>
        <w:widowControl w:val="0"/>
        <w:numPr>
          <w:ilvl w:val="0"/>
          <w:numId w:val="1"/>
        </w:numPr>
        <w:kinsoku/>
        <w:wordWrap/>
        <w:overflowPunct/>
        <w:topLinePunct w:val="0"/>
        <w:autoSpaceDE/>
        <w:autoSpaceDN/>
        <w:bidi w:val="0"/>
        <w:adjustRightInd/>
        <w:spacing w:line="60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工作成绩</w:t>
      </w:r>
    </w:p>
    <w:p w14:paraId="304A9CE7">
      <w:pPr>
        <w:keepNext w:val="0"/>
        <w:keepLines w:val="0"/>
        <w:pageBreakBefore w:val="0"/>
        <w:widowControl w:val="0"/>
        <w:numPr>
          <w:ilvl w:val="0"/>
          <w:numId w:val="0"/>
        </w:numPr>
        <w:kinsoku/>
        <w:wordWrap/>
        <w:overflowPunct/>
        <w:topLinePunct w:val="0"/>
        <w:autoSpaceDE/>
        <w:autoSpaceDN/>
        <w:bidi w:val="0"/>
        <w:adjustRightInd/>
        <w:spacing w:line="600" w:lineRule="exact"/>
        <w:ind w:firstLine="320" w:firstLineChars="1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（一）、贯彻落实省厅</w:t>
      </w:r>
      <w:r>
        <w:rPr>
          <w:rFonts w:hint="eastAsia" w:ascii="黑体" w:hAnsi="黑体" w:eastAsia="黑体" w:cs="黑体"/>
          <w:b w:val="0"/>
          <w:bCs w:val="0"/>
          <w:sz w:val="32"/>
          <w:szCs w:val="32"/>
          <w:lang w:val="en-US" w:eastAsia="zh-CN"/>
        </w:rPr>
        <w:t>工作部署，扎实开展“绩效管理提升年”专项行动</w:t>
      </w:r>
    </w:p>
    <w:p w14:paraId="289FED76">
      <w:pPr>
        <w:pStyle w:val="12"/>
        <w:keepNext w:val="0"/>
        <w:keepLines w:val="0"/>
        <w:pageBreakBefore w:val="0"/>
        <w:widowControl w:val="0"/>
        <w:kinsoku/>
        <w:wordWrap/>
        <w:overflowPunct/>
        <w:topLinePunct w:val="0"/>
        <w:autoSpaceDE/>
        <w:autoSpaceDN/>
        <w:bidi w:val="0"/>
        <w:adjustRightInd/>
        <w:spacing w:line="600" w:lineRule="exact"/>
        <w:ind w:firstLine="700" w:firstLineChars="200"/>
        <w:jc w:val="both"/>
        <w:textAlignment w:val="auto"/>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pPr>
      <w:r>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t>3月底，我局收到省厅工作通知后，迅速成立了预算绩效管理暨“绩效管理提升年”工作领导小组（沅财绩〔2023〕2号），通过局党组统筹、股室领取任务，制定发布了《沅江市财政局“绩效管理提升年”行动方案》（沅财绩〔2023〕3号），着力构建全局参与、分工负责的工作机制，推动形成“人人讲绩效、处处用绩效、事事有绩效”的浓厚氛围。各项工作按方案的预定进度推进，预算绩效管理水平显著提升，于9月向省厅报送了《沅江市财政局“绩效管理提升年”行动工作推进情况汇报》，全面总结前段工作成效，统筹强化后段工作任务。10月，召开了“守牢过紧日子规定底线，做好绩效提升年收尾篇章”为主题的专题工作推进会，力争今年预算绩效全面提升、全局工作完美收官。</w:t>
      </w:r>
    </w:p>
    <w:p w14:paraId="65E9946C">
      <w:pPr>
        <w:pStyle w:val="12"/>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（二）、完善预算绩效制度体系，建立健全绩效管理常态长效机制</w:t>
      </w:r>
    </w:p>
    <w:p w14:paraId="72513F74">
      <w:pPr>
        <w:pStyle w:val="12"/>
        <w:keepNext w:val="0"/>
        <w:keepLines w:val="0"/>
        <w:pageBreakBefore w:val="0"/>
        <w:widowControl w:val="0"/>
        <w:numPr>
          <w:ilvl w:val="0"/>
          <w:numId w:val="0"/>
        </w:numPr>
        <w:kinsoku/>
        <w:wordWrap/>
        <w:overflowPunct/>
        <w:topLinePunct w:val="0"/>
        <w:autoSpaceDE/>
        <w:autoSpaceDN/>
        <w:bidi w:val="0"/>
        <w:adjustRightInd/>
        <w:spacing w:line="600" w:lineRule="exact"/>
        <w:ind w:leftChars="100" w:firstLine="700" w:firstLineChars="200"/>
        <w:jc w:val="both"/>
        <w:textAlignment w:val="auto"/>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pPr>
      <w:r>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t xml:space="preserve">5月，制定发布了《沅江市预算绩效目标管理办法》（沅财绩〔2023〕4号）、《沅江市市级预算部门绩效自评操作规程》（沅财绩〔2023〕5号）、《沅江市预算支出绩效运行监控管理办法》（沅财绩〔2023〕6号）以及《关于建立全面预算绩效管理工作协同联动机制的意见》（沅财审联〔2023〕1 号）文件，加上前两年制定发布的《沅江市预算事前绩效评估管理细则》，以及《关于全面实施预算绩效管理的实施方案》（沅政办资发〔2022〕2号）文件，我局已建立起涵盖从顶层设计到事前绩效评估、绩效目标、绩效运行监控、绩效评价等重要环节的绩效管理制度体系。 </w:t>
      </w:r>
    </w:p>
    <w:p w14:paraId="01C0E3B4">
      <w:pPr>
        <w:pStyle w:val="12"/>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（三）、严格绩效目标管理，督促指导部门单位编报年度绩效目标</w:t>
      </w:r>
    </w:p>
    <w:p w14:paraId="34FD44D1">
      <w:pPr>
        <w:pStyle w:val="12"/>
        <w:keepNext w:val="0"/>
        <w:keepLines w:val="0"/>
        <w:pageBreakBefore w:val="0"/>
        <w:widowControl w:val="0"/>
        <w:kinsoku/>
        <w:wordWrap/>
        <w:overflowPunct/>
        <w:topLinePunct w:val="0"/>
        <w:autoSpaceDE/>
        <w:autoSpaceDN/>
        <w:bidi w:val="0"/>
        <w:adjustRightInd/>
        <w:spacing w:line="600" w:lineRule="exact"/>
        <w:ind w:firstLine="700" w:firstLineChars="200"/>
        <w:jc w:val="both"/>
        <w:textAlignment w:val="auto"/>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pPr>
      <w:r>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t>在部门预算编制过程中，财政业务股室严把审核关口，无绩效目标不安排支出。同时，绩效评价股加大对部门单位的指导力度，通过举办集中培训班、个别指导、提供外地绩效目标体系参考等方式，2023年度部门预算绩效目标编制质量有了明显的提高，所有预算单位和镇街并向财政局绩效评价股报送了年度绩效目标纸质版。</w:t>
      </w:r>
    </w:p>
    <w:p w14:paraId="646802E7">
      <w:pPr>
        <w:pStyle w:val="12"/>
        <w:keepNext w:val="0"/>
        <w:keepLines w:val="0"/>
        <w:pageBreakBefore w:val="0"/>
        <w:widowControl w:val="0"/>
        <w:kinsoku/>
        <w:wordWrap/>
        <w:overflowPunct/>
        <w:topLinePunct w:val="0"/>
        <w:autoSpaceDE/>
        <w:autoSpaceDN/>
        <w:bidi w:val="0"/>
        <w:adjustRightInd/>
        <w:spacing w:line="600" w:lineRule="exact"/>
        <w:ind w:firstLine="700" w:firstLineChars="200"/>
        <w:jc w:val="both"/>
        <w:textAlignment w:val="auto"/>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pPr>
      <w:r>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t>在2024年度部门预算编制过程中，我局对全市各预算单位在预算一体化系统中申报的年度绩效目标，进行了同步审核把关，对绩效指标设置笼统、绩效目标不明确的，坚决予以退回重报，直到符合要求为止，绩效目标并随部门预算一起报人大审核。</w:t>
      </w:r>
    </w:p>
    <w:p w14:paraId="4B0A558F">
      <w:pPr>
        <w:pStyle w:val="12"/>
        <w:keepNext w:val="0"/>
        <w:keepLines w:val="0"/>
        <w:pageBreakBefore w:val="0"/>
        <w:widowControl w:val="0"/>
        <w:kinsoku/>
        <w:wordWrap/>
        <w:overflowPunct/>
        <w:topLinePunct w:val="0"/>
        <w:autoSpaceDE/>
        <w:autoSpaceDN/>
        <w:bidi w:val="0"/>
        <w:adjustRightInd/>
        <w:spacing w:line="600" w:lineRule="exact"/>
        <w:ind w:firstLine="700" w:firstLineChars="200"/>
        <w:jc w:val="both"/>
        <w:textAlignment w:val="auto"/>
        <w:rPr>
          <w:rFonts w:hint="default" w:ascii="仿宋_GB2312" w:hAnsi="仿宋_GB2312" w:eastAsia="仿宋_GB2312" w:cs="仿宋_GB2312"/>
          <w:b w:val="0"/>
          <w:bCs w:val="0"/>
          <w:i w:val="0"/>
          <w:iCs w:val="0"/>
          <w:caps w:val="0"/>
          <w:spacing w:val="15"/>
          <w:kern w:val="2"/>
          <w:sz w:val="32"/>
          <w:szCs w:val="32"/>
          <w:shd w:val="clear" w:color="auto" w:fill="FFFFFF"/>
          <w:lang w:val="en-US" w:eastAsia="zh-CN" w:bidi="ar-SA"/>
        </w:rPr>
      </w:pPr>
      <w:r>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t xml:space="preserve">今年绩效评价股加大了对预算单位绩效目标编制的指导力度，上半年举办了专题培训班，制定发布我市绩效目标管理办法，向预算单位提供省厅发布的部分绩效目标模板，并提供益阳市本级预算单位绩效目标、省内先进地区的预算单位绩效目标汇编，以供学习参考。         </w:t>
      </w:r>
      <w:r>
        <w:rPr>
          <w:rFonts w:hint="default" w:ascii="仿宋_GB2312" w:hAnsi="仿宋_GB2312" w:eastAsia="仿宋_GB2312" w:cs="仿宋_GB2312"/>
          <w:b w:val="0"/>
          <w:bCs w:val="0"/>
          <w:i w:val="0"/>
          <w:iCs w:val="0"/>
          <w:caps w:val="0"/>
          <w:spacing w:val="15"/>
          <w:kern w:val="2"/>
          <w:sz w:val="32"/>
          <w:szCs w:val="32"/>
          <w:shd w:val="clear" w:color="auto" w:fill="FFFFFF"/>
          <w:lang w:val="en-US" w:eastAsia="zh-CN" w:bidi="ar-SA"/>
        </w:rPr>
        <w:t xml:space="preserve">   </w:t>
      </w:r>
      <w:r>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t>明年，我局将引入第三方力量，加强我市三级绩效指标体系建设。</w:t>
      </w:r>
    </w:p>
    <w:p w14:paraId="44D1B654">
      <w:pPr>
        <w:pStyle w:val="12"/>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（四）、开展事前绩效评价，推进全过程预算绩效管理</w:t>
      </w:r>
    </w:p>
    <w:p w14:paraId="2FF639E6">
      <w:pPr>
        <w:pStyle w:val="12"/>
        <w:keepNext w:val="0"/>
        <w:keepLines w:val="0"/>
        <w:pageBreakBefore w:val="0"/>
        <w:widowControl w:val="0"/>
        <w:kinsoku/>
        <w:wordWrap/>
        <w:overflowPunct/>
        <w:topLinePunct w:val="0"/>
        <w:autoSpaceDE/>
        <w:autoSpaceDN/>
        <w:bidi w:val="0"/>
        <w:adjustRightInd/>
        <w:spacing w:line="600" w:lineRule="exact"/>
        <w:ind w:firstLine="700" w:firstLineChars="200"/>
        <w:jc w:val="both"/>
        <w:textAlignment w:val="auto"/>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pPr>
      <w:r>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t>年初，组织对</w:t>
      </w:r>
      <w:r>
        <w:rPr>
          <w:rFonts w:hint="eastAsia" w:ascii="仿宋_GB2312" w:hAnsi="华文仿宋" w:eastAsia="仿宋_GB2312" w:cs="华文仿宋"/>
          <w:sz w:val="32"/>
          <w:szCs w:val="32"/>
        </w:rPr>
        <w:t>2023年度砂石执法工作经费、农村</w:t>
      </w:r>
      <w:r>
        <w:rPr>
          <w:rFonts w:hint="eastAsia" w:ascii="仿宋_GB2312" w:hAnsi="华文仿宋" w:eastAsia="仿宋_GB2312" w:cs="华文仿宋"/>
          <w:sz w:val="32"/>
          <w:szCs w:val="32"/>
          <w:lang w:eastAsia="zh-CN"/>
        </w:rPr>
        <w:t>人</w:t>
      </w:r>
      <w:r>
        <w:rPr>
          <w:rFonts w:hint="eastAsia" w:ascii="仿宋_GB2312" w:hAnsi="华文仿宋" w:eastAsia="仿宋_GB2312" w:cs="华文仿宋"/>
          <w:sz w:val="32"/>
          <w:szCs w:val="32"/>
        </w:rPr>
        <w:t>居环境服务外包项目、五湖保洁项目、垃圾焚烧发电项目、智慧路灯项目</w:t>
      </w:r>
      <w:r>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t>5个市级重点财政政策和项目进行了事前绩效评价。重点对政策出台必要性、实施可行性、公共性和财政支持方式是否得当、项目预算安排是否合理、预期目标是否能够达成等方面在决策阶段进行综合深入评估，从源头上提升财政政策项目效能。</w:t>
      </w:r>
    </w:p>
    <w:p w14:paraId="270F72F6">
      <w:pPr>
        <w:pStyle w:val="12"/>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（五）、开展财政重点绩效评价，强化评价结果应用</w:t>
      </w:r>
    </w:p>
    <w:p w14:paraId="4CBC6C17">
      <w:pPr>
        <w:pStyle w:val="12"/>
        <w:keepNext w:val="0"/>
        <w:keepLines w:val="0"/>
        <w:pageBreakBefore w:val="0"/>
        <w:widowControl w:val="0"/>
        <w:numPr>
          <w:ilvl w:val="0"/>
          <w:numId w:val="0"/>
        </w:numPr>
        <w:kinsoku/>
        <w:wordWrap/>
        <w:overflowPunct/>
        <w:topLinePunct w:val="0"/>
        <w:autoSpaceDE/>
        <w:autoSpaceDN/>
        <w:bidi w:val="0"/>
        <w:adjustRightInd/>
        <w:spacing w:line="600" w:lineRule="exact"/>
        <w:ind w:firstLine="631"/>
        <w:jc w:val="both"/>
        <w:textAlignment w:val="auto"/>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pPr>
      <w:r>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t>2023年财政重点绩效评价工作以突出民生、重点为项目选择原则，结合省财政厅工作考核要求，评价范围覆盖一般公共预算、政府性基金、社会保险基金预算，以及政府购买服务项目等；经相关股室初选、财政局党组集体研究，确定2022年度9个部门整体绩效评价项目，评价金额22922万元，9个重点专项绩效评价项目，评价金额12662万元，共18个项目，总评价金额35584万元，通过政府采购电子卖场程序选定第三方机构委托实施，于9月初召开工作布置会，正式启动财政重点绩效评价工作；对评价过程和评价纪律，财政局相关股室加强了监管，</w:t>
      </w:r>
      <w:r>
        <w:rPr>
          <w:rFonts w:hint="eastAsia" w:ascii="仿宋_GB2312" w:hAnsi="仿宋_GB2312" w:eastAsia="仿宋_GB2312" w:cs="仿宋_GB2312"/>
          <w:kern w:val="0"/>
          <w:sz w:val="32"/>
          <w:szCs w:val="32"/>
          <w:lang w:val="en-US" w:eastAsia="zh-CN"/>
        </w:rPr>
        <w:t>严把评价质量关</w:t>
      </w:r>
      <w:r>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t>；第三方机构于11月下旬向财政局提交了全部项目的正式绩效评价报告。</w:t>
      </w:r>
    </w:p>
    <w:p w14:paraId="7164E508">
      <w:pPr>
        <w:pStyle w:val="12"/>
        <w:keepNext w:val="0"/>
        <w:keepLines w:val="0"/>
        <w:pageBreakBefore w:val="0"/>
        <w:widowControl w:val="0"/>
        <w:numPr>
          <w:ilvl w:val="0"/>
          <w:numId w:val="0"/>
        </w:numPr>
        <w:kinsoku/>
        <w:wordWrap/>
        <w:overflowPunct/>
        <w:topLinePunct w:val="0"/>
        <w:autoSpaceDE/>
        <w:autoSpaceDN/>
        <w:bidi w:val="0"/>
        <w:adjustRightInd/>
        <w:spacing w:line="600" w:lineRule="exact"/>
        <w:ind w:firstLine="631"/>
        <w:jc w:val="both"/>
        <w:textAlignment w:val="auto"/>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pPr>
      <w:r>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t>我局及时将评价报告向相关单位进行了反馈，并督促单位及时进行整改和整体绩效提高，并于12月中旬向财政局报送了专题整改报告。将绩效评价结果与2024年度部门预算安排挂钩，对绩效目标实现不佳和问题较多的单位和项目，坚决扣减预算，向市委、政府、人大书面汇报评价结果及结果应用情况。</w:t>
      </w:r>
    </w:p>
    <w:p w14:paraId="47C53265">
      <w:pPr>
        <w:pStyle w:val="12"/>
        <w:keepNext w:val="0"/>
        <w:keepLines w:val="0"/>
        <w:pageBreakBefore w:val="0"/>
        <w:widowControl w:val="0"/>
        <w:numPr>
          <w:ilvl w:val="0"/>
          <w:numId w:val="0"/>
        </w:numPr>
        <w:kinsoku/>
        <w:wordWrap/>
        <w:overflowPunct/>
        <w:topLinePunct w:val="0"/>
        <w:autoSpaceDE/>
        <w:autoSpaceDN/>
        <w:bidi w:val="0"/>
        <w:adjustRightInd/>
        <w:spacing w:line="600" w:lineRule="exact"/>
        <w:ind w:firstLine="631"/>
        <w:jc w:val="both"/>
        <w:textAlignment w:val="auto"/>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pPr>
      <w:r>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t>3月，财政局金融股组织开展了2022年度县级特色农业金融保险补贴、生猪价格“保险+期货”、农业保险承保机构工作绩效、镇街农业保险工作绩效评价工作。</w:t>
      </w:r>
    </w:p>
    <w:p w14:paraId="3559FA9E">
      <w:pPr>
        <w:pStyle w:val="12"/>
        <w:keepNext w:val="0"/>
        <w:keepLines w:val="0"/>
        <w:pageBreakBefore w:val="0"/>
        <w:widowControl w:val="0"/>
        <w:numPr>
          <w:ilvl w:val="0"/>
          <w:numId w:val="0"/>
        </w:numPr>
        <w:kinsoku/>
        <w:wordWrap/>
        <w:overflowPunct/>
        <w:topLinePunct w:val="0"/>
        <w:autoSpaceDE/>
        <w:autoSpaceDN/>
        <w:bidi w:val="0"/>
        <w:adjustRightInd/>
        <w:spacing w:line="600" w:lineRule="exact"/>
        <w:ind w:firstLine="631"/>
        <w:jc w:val="both"/>
        <w:textAlignment w:val="auto"/>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pPr>
      <w:r>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t>为全面掌握我市乡村振兴专项资金使用、管理情况及取得的成效，11月中旬，财政局绩效评价股、农业农村股组织启动了2023年度乡村振兴项目资金专项绩效评价，涉及项目资金1.07亿元，项目536个，分布在全市14个镇街中心，项目主管部门9个，预计12月20日前完成。</w:t>
      </w:r>
    </w:p>
    <w:p w14:paraId="1D23DAAC">
      <w:pPr>
        <w:pStyle w:val="12"/>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（六）、开展专项资金绩效监控，强化预算执行预警和纠偏，助推支出进度。</w:t>
      </w:r>
    </w:p>
    <w:p w14:paraId="5A2D7C42">
      <w:pPr>
        <w:pStyle w:val="12"/>
        <w:keepNext w:val="0"/>
        <w:keepLines w:val="0"/>
        <w:pageBreakBefore w:val="0"/>
        <w:widowControl w:val="0"/>
        <w:kinsoku/>
        <w:wordWrap/>
        <w:overflowPunct/>
        <w:topLinePunct w:val="0"/>
        <w:autoSpaceDE/>
        <w:autoSpaceDN/>
        <w:bidi w:val="0"/>
        <w:adjustRightInd/>
        <w:spacing w:line="600" w:lineRule="exact"/>
        <w:ind w:firstLine="700" w:firstLineChars="200"/>
        <w:jc w:val="both"/>
        <w:textAlignment w:val="auto"/>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pPr>
      <w:r>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t>7月，组织开展专项资金绩效监控，制定发布了《沅江市财政局关于开展预算支出绩效运行监控的通知》（沅财绩〔2023〕8号），要求各预算单位对20万元以上的专项资金进行了半年度监控自评，并向财政局绩效评价股报送了监控报告，强化了预算执行预警和纠偏，助推支出进度。并督促各部门单位按时报送。财政局相关业务股室对重点项目、民生项目的实施，进行了实时监控。</w:t>
      </w:r>
    </w:p>
    <w:p w14:paraId="23486A23">
      <w:pPr>
        <w:pStyle w:val="12"/>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（七）、开展绩效自评及部门绩效评价，提高预算部门绩效管理水平。</w:t>
      </w:r>
    </w:p>
    <w:p w14:paraId="0B1DDEEE">
      <w:pPr>
        <w:pStyle w:val="12"/>
        <w:keepNext w:val="0"/>
        <w:keepLines w:val="0"/>
        <w:pageBreakBefore w:val="0"/>
        <w:widowControl w:val="0"/>
        <w:kinsoku/>
        <w:wordWrap/>
        <w:overflowPunct/>
        <w:topLinePunct w:val="0"/>
        <w:autoSpaceDE/>
        <w:autoSpaceDN/>
        <w:bidi w:val="0"/>
        <w:adjustRightInd/>
        <w:spacing w:line="600" w:lineRule="exact"/>
        <w:ind w:firstLine="700" w:firstLineChars="200"/>
        <w:jc w:val="both"/>
        <w:textAlignment w:val="auto"/>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pPr>
      <w:r>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t>3月，组织全市镇街和市直部门单位全面开展2022年度预算支出绩效自评工作，制定发布了《沅江市财政局关于做好2022年度预算绩效自评工作的通知》（沅财绩〔2023〕1号），各镇（街道）、市直部门单位已于5月底向财政局绩效评价股报送自评材料。通过绩效自评，有效增强了预算部门绩效管理责任主体意识，同时通过对部门整体和专项支出的梳理分析，也有效提高了部门单位的绩效管理水平。</w:t>
      </w:r>
    </w:p>
    <w:p w14:paraId="57FCFC8C">
      <w:pPr>
        <w:pStyle w:val="12"/>
        <w:keepNext w:val="0"/>
        <w:keepLines w:val="0"/>
        <w:pageBreakBefore w:val="0"/>
        <w:widowControl w:val="0"/>
        <w:kinsoku/>
        <w:wordWrap/>
        <w:overflowPunct/>
        <w:topLinePunct w:val="0"/>
        <w:autoSpaceDE/>
        <w:autoSpaceDN/>
        <w:bidi w:val="0"/>
        <w:adjustRightInd/>
        <w:spacing w:line="600" w:lineRule="exact"/>
        <w:ind w:firstLine="700" w:firstLineChars="200"/>
        <w:jc w:val="both"/>
        <w:textAlignment w:val="auto"/>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pPr>
      <w:r>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t>由于资金、人力、时间等因素限制，对某些具有量大面广、专业性强等特点的重点项目和政策，财政不宜直接组织绩效评价，我们督促部门积极创造条件组织绩效评价或监控评估。7月，由沅江市住建局重点办牵头，聘请专业评价机构开展了“沅江市中心城区水环境综合治理一期工程PPP项目”绩效考核，11月完成并向财政报送了绩效考核报告。沅江市卫生健康局对我市 2023 年上半年国家基本公共卫生服务项目的实施情况和资金绩效，组织进行了电话调查与现场考核，形成了正式绩效考核报告并报送财政局。对2023年中央农业防灾减灾（农作物重大病虫害防控）项目，沅江市农业农村局主动组织了认真的绩效自评并形成了正式绩效评价报告；对2022年度中央水库移民扶持基金，沅江市库区移民事务中心也组织了全面评价，并形成了正式绩效评价报告等。</w:t>
      </w:r>
    </w:p>
    <w:p w14:paraId="591533E2">
      <w:pPr>
        <w:pStyle w:val="12"/>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（八）、配合省厅县级财政收入绩效调研及县级财政运行绩效评价工作</w:t>
      </w:r>
    </w:p>
    <w:p w14:paraId="4171251E">
      <w:pPr>
        <w:pStyle w:val="12"/>
        <w:keepNext w:val="0"/>
        <w:keepLines w:val="0"/>
        <w:pageBreakBefore w:val="0"/>
        <w:widowControl w:val="0"/>
        <w:numPr>
          <w:ilvl w:val="0"/>
          <w:numId w:val="0"/>
        </w:numPr>
        <w:kinsoku/>
        <w:wordWrap/>
        <w:overflowPunct/>
        <w:topLinePunct w:val="0"/>
        <w:autoSpaceDE/>
        <w:autoSpaceDN/>
        <w:bidi w:val="0"/>
        <w:adjustRightInd/>
        <w:spacing w:line="600" w:lineRule="exact"/>
        <w:ind w:firstLine="720"/>
        <w:jc w:val="both"/>
        <w:textAlignment w:val="auto"/>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pPr>
      <w:r>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t>8月，省厅绩效处一行来沅开展县级财政收入绩效调研及县级财政运行绩效评价，绩效评价股在局党组全局统筹安排下，和局办公室及相关股室密切配合，做好了各项准备工作，及资料收集、基础数据表单编制、绩效自评报告撰写、报告意见反馈等工作。省厅下发正式绩效评价报告后，我局及时组织了对报告的局内集中学习，并制定问题整改方案，和提高财政运行绩效相关对策。</w:t>
      </w:r>
    </w:p>
    <w:p w14:paraId="16B45223">
      <w:pPr>
        <w:pStyle w:val="12"/>
        <w:keepNext w:val="0"/>
        <w:keepLines w:val="0"/>
        <w:pageBreakBefore w:val="0"/>
        <w:widowControl w:val="0"/>
        <w:kinsoku/>
        <w:wordWrap/>
        <w:overflowPunct/>
        <w:topLinePunct w:val="0"/>
        <w:autoSpaceDE/>
        <w:autoSpaceDN/>
        <w:bidi w:val="0"/>
        <w:adjustRightInd/>
        <w:spacing w:line="600" w:lineRule="exact"/>
        <w:ind w:firstLine="700" w:firstLineChars="200"/>
        <w:jc w:val="both"/>
        <w:textAlignment w:val="auto"/>
        <w:rPr>
          <w:rFonts w:hint="eastAsia" w:ascii="黑体" w:hAnsi="黑体" w:eastAsia="黑体" w:cs="黑体"/>
          <w:b w:val="0"/>
          <w:bCs w:val="0"/>
          <w:i w:val="0"/>
          <w:iCs w:val="0"/>
          <w:caps w:val="0"/>
          <w:spacing w:val="15"/>
          <w:kern w:val="2"/>
          <w:sz w:val="32"/>
          <w:szCs w:val="32"/>
          <w:shd w:val="clear" w:color="auto" w:fill="FFFFFF"/>
          <w:lang w:val="en-US" w:eastAsia="zh-CN" w:bidi="ar-SA"/>
        </w:rPr>
      </w:pPr>
      <w:r>
        <w:rPr>
          <w:rFonts w:hint="eastAsia" w:ascii="黑体" w:hAnsi="黑体" w:eastAsia="黑体" w:cs="黑体"/>
          <w:b w:val="0"/>
          <w:bCs w:val="0"/>
          <w:i w:val="0"/>
          <w:iCs w:val="0"/>
          <w:caps w:val="0"/>
          <w:spacing w:val="15"/>
          <w:kern w:val="2"/>
          <w:sz w:val="32"/>
          <w:szCs w:val="32"/>
          <w:shd w:val="clear" w:color="auto" w:fill="FFFFFF"/>
          <w:lang w:val="en-US" w:eastAsia="zh-CN" w:bidi="ar-SA"/>
        </w:rPr>
        <w:t>（九）、开展业务培训，提高预算部门绩效实操能力</w:t>
      </w:r>
    </w:p>
    <w:p w14:paraId="20972778">
      <w:pPr>
        <w:pStyle w:val="12"/>
        <w:keepNext w:val="0"/>
        <w:keepLines w:val="0"/>
        <w:pageBreakBefore w:val="0"/>
        <w:widowControl w:val="0"/>
        <w:kinsoku/>
        <w:wordWrap/>
        <w:overflowPunct/>
        <w:topLinePunct w:val="0"/>
        <w:autoSpaceDE/>
        <w:autoSpaceDN/>
        <w:bidi w:val="0"/>
        <w:adjustRightInd/>
        <w:spacing w:line="600" w:lineRule="exact"/>
        <w:jc w:val="both"/>
        <w:textAlignment w:val="auto"/>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pPr>
      <w:r>
        <w:rPr>
          <w:rFonts w:hint="eastAsia" w:ascii="仿宋_GB2312" w:hAnsi="仿宋_GB2312" w:eastAsia="仿宋_GB2312" w:cs="仿宋_GB2312"/>
          <w:b/>
          <w:bCs/>
          <w:i w:val="0"/>
          <w:iCs w:val="0"/>
          <w:caps w:val="0"/>
          <w:spacing w:val="15"/>
          <w:kern w:val="2"/>
          <w:sz w:val="32"/>
          <w:szCs w:val="32"/>
          <w:shd w:val="clear" w:color="auto" w:fill="FFFFFF"/>
          <w:lang w:val="en-US" w:eastAsia="zh-CN" w:bidi="ar-SA"/>
        </w:rPr>
        <w:t xml:space="preserve">  </w:t>
      </w:r>
      <w:r>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t>7月3日，绩效评价股和局干教中心组织举办了一期全市绩效业务实操培训班。全市108个预算单位和镇街财政所财务人员等共120多人参加了培训。会上一并布置了2023年年中绩效监控工作任务。培训邀请经验丰富的第三方专家授课，采用理论与实操相结合的方式，结合大量实例，以各单位普遍反映难度最大的绩效指标设置为核心和重点，对年初绩效目标申报、年中绩效监控和年终绩效自评业务，进行了系统的解读。培训班人员到得齐、听课认真，收到了很好的效果。</w:t>
      </w:r>
    </w:p>
    <w:p w14:paraId="76863CC2">
      <w:pPr>
        <w:pStyle w:val="12"/>
        <w:keepNext w:val="0"/>
        <w:keepLines w:val="0"/>
        <w:pageBreakBefore w:val="0"/>
        <w:widowControl w:val="0"/>
        <w:kinsoku/>
        <w:wordWrap/>
        <w:overflowPunct/>
        <w:topLinePunct w:val="0"/>
        <w:autoSpaceDE/>
        <w:autoSpaceDN/>
        <w:bidi w:val="0"/>
        <w:adjustRightInd/>
        <w:spacing w:line="600" w:lineRule="exact"/>
        <w:jc w:val="both"/>
        <w:textAlignment w:val="auto"/>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pPr>
      <w:r>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t xml:space="preserve"> 按省厅统一部署，今年底上线一体化系统预算绩效功能模块，12月12日，我局联系北京博思恒效咨询有限公司来我市组织了专题培训，120个市直预算单位和镇街财政所相关人员参加了培训，培训后，由局信息股迅速开展系统初始化上线工作。</w:t>
      </w:r>
    </w:p>
    <w:p w14:paraId="30065501">
      <w:pPr>
        <w:keepNext w:val="0"/>
        <w:keepLines w:val="0"/>
        <w:pageBreakBefore w:val="0"/>
        <w:widowControl w:val="0"/>
        <w:numPr>
          <w:ilvl w:val="0"/>
          <w:numId w:val="1"/>
        </w:numPr>
        <w:kinsoku/>
        <w:wordWrap/>
        <w:overflowPunct/>
        <w:topLinePunct w:val="0"/>
        <w:autoSpaceDE/>
        <w:autoSpaceDN/>
        <w:bidi w:val="0"/>
        <w:adjustRightInd/>
        <w:spacing w:line="600" w:lineRule="exact"/>
        <w:ind w:left="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存在的问题及改进措施</w:t>
      </w:r>
    </w:p>
    <w:p w14:paraId="0B567C0E">
      <w:pPr>
        <w:keepNext w:val="0"/>
        <w:keepLines w:val="0"/>
        <w:pageBreakBefore w:val="0"/>
        <w:widowControl w:val="0"/>
        <w:numPr>
          <w:ilvl w:val="0"/>
          <w:numId w:val="2"/>
        </w:numPr>
        <w:kinsoku/>
        <w:wordWrap/>
        <w:overflowPunct/>
        <w:topLinePunct w:val="0"/>
        <w:autoSpaceDE/>
        <w:autoSpaceDN/>
        <w:bidi w:val="0"/>
        <w:adjustRightInd/>
        <w:spacing w:line="600" w:lineRule="exact"/>
        <w:ind w:left="0" w:leftChars="0" w:firstLine="0" w:firstLineChars="0"/>
        <w:jc w:val="both"/>
        <w:textAlignment w:val="auto"/>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pPr>
      <w:r>
        <w:rPr>
          <w:rFonts w:hint="eastAsia" w:ascii="仿宋_GB2312" w:hAnsi="仿宋_GB2312" w:eastAsia="仿宋_GB2312" w:cs="仿宋_GB2312"/>
          <w:b/>
          <w:bCs/>
          <w:i w:val="0"/>
          <w:iCs w:val="0"/>
          <w:caps w:val="0"/>
          <w:spacing w:val="15"/>
          <w:kern w:val="2"/>
          <w:sz w:val="32"/>
          <w:szCs w:val="32"/>
          <w:shd w:val="clear" w:color="auto" w:fill="FFFFFF"/>
          <w:lang w:val="en-US" w:eastAsia="zh-CN" w:bidi="ar-SA"/>
        </w:rPr>
        <w:t>部门预算绩效主体意识尚待增强，相关工作开展不到位。</w:t>
      </w:r>
      <w:r>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t>全市部门单位都按财政要求完成了绩效目标、自评、监控等工作，但有部分单位主体意识不强，存在被动完成任务甚至流于形式的现象。各部门单位的预算绩效指标体系也不完善和规范。认真组织新增项目事前评估、重大项目事后评价的也不多。</w:t>
      </w:r>
    </w:p>
    <w:p w14:paraId="633767B8">
      <w:pPr>
        <w:keepNext w:val="0"/>
        <w:keepLines w:val="0"/>
        <w:pageBreakBefore w:val="0"/>
        <w:widowControl w:val="0"/>
        <w:numPr>
          <w:ilvl w:val="0"/>
          <w:numId w:val="2"/>
        </w:numPr>
        <w:kinsoku/>
        <w:wordWrap/>
        <w:overflowPunct/>
        <w:topLinePunct w:val="0"/>
        <w:autoSpaceDE/>
        <w:autoSpaceDN/>
        <w:bidi w:val="0"/>
        <w:adjustRightInd/>
        <w:spacing w:line="600" w:lineRule="exact"/>
        <w:ind w:left="0" w:leftChars="0" w:firstLine="0" w:firstLineChars="0"/>
        <w:jc w:val="both"/>
        <w:textAlignment w:val="auto"/>
        <w:rPr>
          <w:rFonts w:hint="default" w:ascii="华文仿宋" w:hAnsi="华文仿宋" w:eastAsia="华文仿宋" w:cs="华文仿宋"/>
          <w:b w:val="0"/>
          <w:bCs w:val="0"/>
          <w:sz w:val="32"/>
          <w:szCs w:val="32"/>
          <w:lang w:val="en-US" w:eastAsia="zh-CN"/>
        </w:rPr>
      </w:pPr>
      <w:r>
        <w:rPr>
          <w:rFonts w:hint="eastAsia" w:ascii="华文仿宋" w:hAnsi="华文仿宋" w:eastAsia="华文仿宋" w:cs="华文仿宋"/>
          <w:b/>
          <w:bCs/>
          <w:sz w:val="32"/>
          <w:szCs w:val="32"/>
          <w:lang w:val="en-US" w:eastAsia="zh-CN"/>
        </w:rPr>
        <w:t>财政重点绩效评价的覆盖面还不够。</w:t>
      </w:r>
      <w:r>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t>由于客观原因，我</w:t>
      </w:r>
      <w:r>
        <w:rPr>
          <w:rFonts w:hint="eastAsia" w:ascii="华文仿宋" w:hAnsi="华文仿宋" w:eastAsia="华文仿宋" w:cs="华文仿宋"/>
          <w:b w:val="0"/>
          <w:bCs w:val="0"/>
          <w:sz w:val="32"/>
          <w:szCs w:val="32"/>
          <w:lang w:val="en-US" w:eastAsia="zh-CN"/>
        </w:rPr>
        <w:t>市没有国有资本经营及国有投资基金预算，因此，我局重点绩效评价的范围严格来说，还只覆盖了“三本”预算。由于客观原因，今年的债务项目绩效评价也尚未开展，镇街级政府财政运行绩效评价还在筹划中，拟明年才能正式开展。</w:t>
      </w:r>
    </w:p>
    <w:p w14:paraId="48334656">
      <w:pPr>
        <w:keepNext w:val="0"/>
        <w:keepLines w:val="0"/>
        <w:pageBreakBefore w:val="0"/>
        <w:widowControl w:val="0"/>
        <w:numPr>
          <w:ilvl w:val="0"/>
          <w:numId w:val="2"/>
        </w:numPr>
        <w:kinsoku/>
        <w:wordWrap/>
        <w:overflowPunct/>
        <w:topLinePunct w:val="0"/>
        <w:autoSpaceDE/>
        <w:autoSpaceDN/>
        <w:bidi w:val="0"/>
        <w:adjustRightInd/>
        <w:spacing w:line="600" w:lineRule="exact"/>
        <w:ind w:left="0" w:leftChars="0" w:firstLine="0" w:firstLineChars="0"/>
        <w:jc w:val="both"/>
        <w:textAlignment w:val="auto"/>
        <w:rPr>
          <w:rFonts w:hint="default" w:ascii="华文仿宋" w:hAnsi="华文仿宋" w:eastAsia="华文仿宋" w:cs="华文仿宋"/>
          <w:b w:val="0"/>
          <w:bCs w:val="0"/>
          <w:sz w:val="32"/>
          <w:szCs w:val="32"/>
          <w:lang w:val="en-US" w:eastAsia="zh-CN"/>
        </w:rPr>
      </w:pPr>
      <w:r>
        <w:rPr>
          <w:rFonts w:hint="default" w:ascii="华文仿宋" w:hAnsi="华文仿宋" w:eastAsia="华文仿宋" w:cs="华文仿宋"/>
          <w:b/>
          <w:bCs/>
          <w:sz w:val="32"/>
          <w:szCs w:val="32"/>
          <w:lang w:val="en-US" w:eastAsia="zh-CN"/>
        </w:rPr>
        <w:t>对财政重点绩效评价的过程监管还不到位。</w:t>
      </w:r>
      <w:r>
        <w:rPr>
          <w:rFonts w:hint="eastAsia" w:ascii="CESI仿宋-GB2312" w:hAnsi="CESI仿宋-GB2312" w:eastAsia="CESI仿宋-GB2312" w:cs="CESI仿宋-GB2312"/>
          <w:sz w:val="30"/>
          <w:szCs w:val="30"/>
          <w:lang w:val="en-US" w:eastAsia="zh-CN"/>
        </w:rPr>
        <w:t>当前对第三方机构绩效评价过程的监管并不到位，也缺乏有效措施和方法。根本原因在</w:t>
      </w:r>
      <w:r>
        <w:rPr>
          <w:rFonts w:hint="eastAsia" w:ascii="CESI仿宋-GB2312" w:hAnsi="CESI仿宋-GB2312" w:eastAsia="CESI仿宋-GB2312" w:cs="CESI仿宋-GB2312"/>
          <w:sz w:val="30"/>
          <w:szCs w:val="30"/>
          <w:lang w:eastAsia="zh-CN"/>
        </w:rPr>
        <w:t>财政自己缺乏绩效评价操作实践经验。建议今年在不委托</w:t>
      </w:r>
      <w:r>
        <w:rPr>
          <w:rFonts w:hint="eastAsia" w:ascii="CESI仿宋-GB2312" w:hAnsi="CESI仿宋-GB2312" w:eastAsia="CESI仿宋-GB2312" w:cs="CESI仿宋-GB2312"/>
          <w:sz w:val="30"/>
          <w:szCs w:val="30"/>
        </w:rPr>
        <w:t>第三方</w:t>
      </w:r>
      <w:r>
        <w:rPr>
          <w:rFonts w:hint="eastAsia" w:ascii="CESI仿宋-GB2312" w:hAnsi="CESI仿宋-GB2312" w:eastAsia="CESI仿宋-GB2312" w:cs="CESI仿宋-GB2312"/>
          <w:sz w:val="30"/>
          <w:szCs w:val="30"/>
          <w:lang w:eastAsia="zh-CN"/>
        </w:rPr>
        <w:t>机构的情形下，</w:t>
      </w:r>
      <w:r>
        <w:rPr>
          <w:rFonts w:hint="eastAsia" w:ascii="CESI仿宋-GB2312" w:hAnsi="CESI仿宋-GB2312" w:eastAsia="CESI仿宋-GB2312" w:cs="CESI仿宋-GB2312"/>
          <w:sz w:val="30"/>
          <w:szCs w:val="30"/>
        </w:rPr>
        <w:t>财政联合审计</w:t>
      </w:r>
      <w:r>
        <w:rPr>
          <w:rFonts w:hint="eastAsia" w:ascii="CESI仿宋-GB2312" w:hAnsi="CESI仿宋-GB2312" w:eastAsia="CESI仿宋-GB2312" w:cs="CESI仿宋-GB2312"/>
          <w:sz w:val="30"/>
          <w:szCs w:val="30"/>
          <w:lang w:eastAsia="zh-CN"/>
        </w:rPr>
        <w:t>局专业力量</w:t>
      </w:r>
      <w:r>
        <w:rPr>
          <w:rFonts w:hint="eastAsia" w:ascii="CESI仿宋-GB2312" w:hAnsi="CESI仿宋-GB2312" w:eastAsia="CESI仿宋-GB2312" w:cs="CESI仿宋-GB2312"/>
          <w:sz w:val="30"/>
          <w:szCs w:val="30"/>
        </w:rPr>
        <w:t>开展</w:t>
      </w:r>
      <w:r>
        <w:rPr>
          <w:rFonts w:hint="eastAsia" w:ascii="CESI仿宋-GB2312" w:hAnsi="CESI仿宋-GB2312" w:eastAsia="CESI仿宋-GB2312" w:cs="CESI仿宋-GB2312"/>
          <w:sz w:val="30"/>
          <w:szCs w:val="30"/>
          <w:lang w:val="en-US" w:eastAsia="zh-CN"/>
        </w:rPr>
        <w:t>1-2个重点政策、</w:t>
      </w:r>
      <w:r>
        <w:rPr>
          <w:rFonts w:hint="eastAsia" w:ascii="CESI仿宋-GB2312" w:hAnsi="CESI仿宋-GB2312" w:eastAsia="CESI仿宋-GB2312" w:cs="CESI仿宋-GB2312"/>
          <w:sz w:val="30"/>
          <w:szCs w:val="30"/>
        </w:rPr>
        <w:t>项目绩效评价</w:t>
      </w:r>
      <w:r>
        <w:rPr>
          <w:rFonts w:hint="eastAsia" w:ascii="CESI仿宋-GB2312" w:hAnsi="CESI仿宋-GB2312" w:eastAsia="CESI仿宋-GB2312" w:cs="CESI仿宋-GB2312"/>
          <w:sz w:val="30"/>
          <w:szCs w:val="30"/>
          <w:lang w:eastAsia="zh-CN"/>
        </w:rPr>
        <w:t>，并在此基础上制定出绩效评价相关监管措施。</w:t>
      </w:r>
    </w:p>
    <w:p w14:paraId="0D1A56EB">
      <w:pPr>
        <w:keepNext w:val="0"/>
        <w:keepLines w:val="0"/>
        <w:pageBreakBefore w:val="0"/>
        <w:widowControl w:val="0"/>
        <w:numPr>
          <w:ilvl w:val="0"/>
          <w:numId w:val="2"/>
        </w:numPr>
        <w:kinsoku/>
        <w:wordWrap/>
        <w:overflowPunct/>
        <w:topLinePunct w:val="0"/>
        <w:autoSpaceDE/>
        <w:autoSpaceDN/>
        <w:bidi w:val="0"/>
        <w:adjustRightInd/>
        <w:spacing w:line="600" w:lineRule="exact"/>
        <w:ind w:left="0" w:leftChars="0" w:firstLine="0" w:firstLineChars="0"/>
        <w:jc w:val="both"/>
        <w:textAlignment w:val="auto"/>
        <w:rPr>
          <w:rFonts w:hint="default" w:ascii="CESI仿宋-GB2312" w:hAnsi="CESI仿宋-GB2312" w:eastAsia="CESI仿宋-GB2312" w:cs="CESI仿宋-GB2312"/>
          <w:sz w:val="30"/>
          <w:szCs w:val="30"/>
          <w:lang w:val="en-US" w:eastAsia="zh-CN"/>
        </w:rPr>
      </w:pPr>
      <w:r>
        <w:rPr>
          <w:rFonts w:hint="eastAsia" w:ascii="华文仿宋" w:hAnsi="华文仿宋" w:eastAsia="华文仿宋" w:cs="华文仿宋"/>
          <w:b/>
          <w:bCs/>
          <w:sz w:val="32"/>
          <w:szCs w:val="32"/>
          <w:lang w:val="en-US" w:eastAsia="zh-CN"/>
        </w:rPr>
        <w:t>财政重点绩效评价结果应用还不到位。</w:t>
      </w:r>
      <w:r>
        <w:rPr>
          <w:rFonts w:hint="eastAsia" w:ascii="CESI仿宋-GB2312" w:hAnsi="CESI仿宋-GB2312" w:eastAsia="CESI仿宋-GB2312" w:cs="CESI仿宋-GB2312"/>
          <w:sz w:val="30"/>
          <w:szCs w:val="30"/>
          <w:lang w:val="en-US" w:eastAsia="zh-CN"/>
        </w:rPr>
        <w:t>由于事后绩效评价的跨年度原因，评价结果还未发挥对部门预算的参考作用。</w:t>
      </w:r>
    </w:p>
    <w:p w14:paraId="2B1EEB67">
      <w:pPr>
        <w:numPr>
          <w:ilvl w:val="0"/>
          <w:numId w:val="0"/>
        </w:numPr>
        <w:jc w:val="left"/>
        <w:rPr>
          <w:rFonts w:hint="default" w:ascii="Nimbus Roman No9 L" w:hAnsi="Nimbus Roman No9 L" w:eastAsia="仿宋_GB2312" w:cs="Nimbus Roman No9 L"/>
          <w:color w:val="auto"/>
          <w:sz w:val="32"/>
          <w:szCs w:val="32"/>
          <w:lang w:val="en-US" w:eastAsia="zh-CN"/>
        </w:rPr>
      </w:pPr>
      <w:r>
        <w:rPr>
          <w:rFonts w:hint="eastAsia" w:ascii="Nimbus Roman No9 L" w:hAnsi="Nimbus Roman No9 L" w:eastAsia="仿宋_GB2312" w:cs="Nimbus Roman No9 L"/>
          <w:b/>
          <w:bCs/>
          <w:color w:val="auto"/>
          <w:sz w:val="32"/>
          <w:szCs w:val="32"/>
          <w:lang w:val="en-US" w:eastAsia="zh-CN"/>
        </w:rPr>
        <w:t>5、重大财政政策项目开展绩效监控不到位。</w:t>
      </w:r>
      <w:r>
        <w:rPr>
          <w:rFonts w:hint="eastAsia" w:ascii="Nimbus Roman No9 L" w:hAnsi="Nimbus Roman No9 L" w:eastAsia="仿宋_GB2312" w:cs="Nimbus Roman No9 L"/>
          <w:color w:val="auto"/>
          <w:sz w:val="32"/>
          <w:szCs w:val="32"/>
          <w:lang w:val="en-US" w:eastAsia="zh-CN"/>
        </w:rPr>
        <w:t>一方面，对上年度重大政策项目，财政组织开展了预算部门绩效自评和财政重点评价，另一方面，对当年实施中的重点政策和项目，虽然财政也督促预算部门进行了半年度监控，但这种监控的整体质量并不高，部分还流于形式；财政组织重点监控的力度还不够，一是对项目的了解不够深入全面，浅尝辄止，二是还没有建立起重点监控的合力，绩效评价股、部门预算主管股室、监督股等股室，对部门单位重点专项资金的监督监控，往往各行其是，并没有充分发挥财政监控的效能。建立由局党组统筹，建立起由绩效评价、业务股室、监督股参与的，对重大财政政策项目实施的常态化绩效监控工作机制。</w:t>
      </w:r>
    </w:p>
    <w:p w14:paraId="36009693">
      <w:pPr>
        <w:pStyle w:val="12"/>
        <w:keepNext w:val="0"/>
        <w:keepLines w:val="0"/>
        <w:pageBreakBefore w:val="0"/>
        <w:widowControl w:val="0"/>
        <w:kinsoku/>
        <w:wordWrap/>
        <w:overflowPunct/>
        <w:topLinePunct w:val="0"/>
        <w:autoSpaceDE/>
        <w:autoSpaceDN/>
        <w:bidi w:val="0"/>
        <w:adjustRightInd/>
        <w:spacing w:line="600" w:lineRule="exact"/>
        <w:jc w:val="both"/>
        <w:textAlignment w:val="auto"/>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pPr>
    </w:p>
    <w:p w14:paraId="4674316A">
      <w:pPr>
        <w:pStyle w:val="12"/>
        <w:keepNext w:val="0"/>
        <w:keepLines w:val="0"/>
        <w:pageBreakBefore w:val="0"/>
        <w:widowControl w:val="0"/>
        <w:kinsoku/>
        <w:wordWrap/>
        <w:overflowPunct/>
        <w:topLinePunct w:val="0"/>
        <w:autoSpaceDE/>
        <w:autoSpaceDN/>
        <w:bidi w:val="0"/>
        <w:adjustRightInd/>
        <w:spacing w:line="600" w:lineRule="exact"/>
        <w:jc w:val="both"/>
        <w:textAlignment w:val="auto"/>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pPr>
      <w:r>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t xml:space="preserve">                    </w:t>
      </w:r>
    </w:p>
    <w:p w14:paraId="18896A2A">
      <w:pPr>
        <w:pStyle w:val="12"/>
        <w:keepNext w:val="0"/>
        <w:keepLines w:val="0"/>
        <w:pageBreakBefore w:val="0"/>
        <w:widowControl w:val="0"/>
        <w:kinsoku/>
        <w:wordWrap/>
        <w:overflowPunct/>
        <w:topLinePunct w:val="0"/>
        <w:autoSpaceDE/>
        <w:autoSpaceDN/>
        <w:bidi w:val="0"/>
        <w:adjustRightInd/>
        <w:spacing w:line="600" w:lineRule="exact"/>
        <w:jc w:val="both"/>
        <w:textAlignment w:val="auto"/>
        <w:rPr>
          <w:rFonts w:hint="eastAsia" w:ascii="仿宋_GB2312" w:hAnsi="仿宋_GB2312" w:eastAsia="仿宋_GB2312" w:cs="仿宋_GB2312"/>
          <w:b w:val="0"/>
          <w:bCs w:val="0"/>
          <w:i w:val="0"/>
          <w:iCs w:val="0"/>
          <w:caps w:val="0"/>
          <w:spacing w:val="15"/>
          <w:kern w:val="2"/>
          <w:sz w:val="32"/>
          <w:szCs w:val="32"/>
          <w:shd w:val="clear" w:color="auto" w:fill="FFFFFF"/>
          <w:lang w:val="en-US" w:eastAsia="zh-CN" w:bidi="ar-SA"/>
        </w:rPr>
      </w:pPr>
    </w:p>
    <w:p w14:paraId="44D0B50A">
      <w:pPr>
        <w:pStyle w:val="12"/>
        <w:keepNext w:val="0"/>
        <w:keepLines w:val="0"/>
        <w:pageBreakBefore w:val="0"/>
        <w:widowControl w:val="0"/>
        <w:kinsoku/>
        <w:wordWrap/>
        <w:overflowPunct/>
        <w:topLinePunct w:val="0"/>
        <w:autoSpaceDE/>
        <w:autoSpaceDN/>
        <w:bidi w:val="0"/>
        <w:adjustRightInd/>
        <w:spacing w:line="600" w:lineRule="exact"/>
        <w:ind w:firstLine="3864" w:firstLineChars="1100"/>
        <w:jc w:val="both"/>
        <w:textAlignment w:val="auto"/>
        <w:rPr>
          <w:rFonts w:hint="eastAsia" w:ascii="仿宋_GB2312" w:hAnsi="仿宋_GB2312" w:eastAsia="仿宋_GB2312" w:cs="仿宋_GB2312"/>
          <w:b/>
          <w:bCs/>
          <w:i w:val="0"/>
          <w:iCs w:val="0"/>
          <w:caps w:val="0"/>
          <w:spacing w:val="15"/>
          <w:kern w:val="2"/>
          <w:sz w:val="32"/>
          <w:szCs w:val="32"/>
          <w:shd w:val="clear" w:color="auto" w:fill="FFFFFF"/>
          <w:lang w:val="en-US" w:eastAsia="zh-CN" w:bidi="ar-SA"/>
        </w:rPr>
      </w:pPr>
      <w:r>
        <w:rPr>
          <w:rFonts w:hint="eastAsia" w:ascii="仿宋_GB2312" w:hAnsi="仿宋_GB2312" w:eastAsia="仿宋_GB2312" w:cs="仿宋_GB2312"/>
          <w:b/>
          <w:bCs/>
          <w:i w:val="0"/>
          <w:iCs w:val="0"/>
          <w:caps w:val="0"/>
          <w:spacing w:val="15"/>
          <w:kern w:val="2"/>
          <w:sz w:val="32"/>
          <w:szCs w:val="32"/>
          <w:shd w:val="clear" w:color="auto" w:fill="FFFFFF"/>
          <w:lang w:val="en-US" w:eastAsia="zh-CN" w:bidi="ar-SA"/>
        </w:rPr>
        <w:t>沅江市财政局绩效评价股</w:t>
      </w:r>
    </w:p>
    <w:p w14:paraId="07AB00D8">
      <w:pPr>
        <w:pStyle w:val="12"/>
        <w:keepNext w:val="0"/>
        <w:keepLines w:val="0"/>
        <w:pageBreakBefore w:val="0"/>
        <w:widowControl w:val="0"/>
        <w:kinsoku/>
        <w:wordWrap/>
        <w:overflowPunct/>
        <w:topLinePunct w:val="0"/>
        <w:autoSpaceDE/>
        <w:autoSpaceDN/>
        <w:bidi w:val="0"/>
        <w:adjustRightInd/>
        <w:spacing w:line="600" w:lineRule="exact"/>
        <w:jc w:val="both"/>
        <w:textAlignment w:val="auto"/>
        <w:rPr>
          <w:rFonts w:hint="default" w:ascii="仿宋" w:hAnsi="仿宋" w:eastAsia="仿宋" w:cs="仿宋"/>
          <w:b/>
          <w:bCs/>
          <w:i w:val="0"/>
          <w:iCs w:val="0"/>
          <w:caps w:val="0"/>
          <w:spacing w:val="15"/>
          <w:kern w:val="2"/>
          <w:sz w:val="28"/>
          <w:szCs w:val="28"/>
          <w:shd w:val="clear" w:color="auto" w:fill="FFFFFF"/>
          <w:lang w:val="en-US" w:eastAsia="zh-CN" w:bidi="ar-SA"/>
        </w:rPr>
      </w:pPr>
      <w:r>
        <w:rPr>
          <w:rFonts w:hint="eastAsia" w:ascii="仿宋_GB2312" w:hAnsi="仿宋_GB2312" w:eastAsia="仿宋_GB2312" w:cs="仿宋_GB2312"/>
          <w:b/>
          <w:bCs/>
          <w:i w:val="0"/>
          <w:iCs w:val="0"/>
          <w:caps w:val="0"/>
          <w:spacing w:val="15"/>
          <w:kern w:val="2"/>
          <w:sz w:val="32"/>
          <w:szCs w:val="32"/>
          <w:shd w:val="clear" w:color="auto" w:fill="FFFFFF"/>
          <w:lang w:val="en-US" w:eastAsia="zh-CN" w:bidi="ar-SA"/>
        </w:rPr>
        <w:t xml:space="preserve">                       2023年12月</w:t>
      </w:r>
    </w:p>
    <w:p w14:paraId="67E1DDDE">
      <w:pPr>
        <w:pStyle w:val="12"/>
        <w:rPr>
          <w:rFonts w:hint="default" w:ascii="仿宋" w:hAnsi="仿宋" w:eastAsia="仿宋" w:cs="仿宋"/>
          <w:b w:val="0"/>
          <w:bCs w:val="0"/>
          <w:i w:val="0"/>
          <w:iCs w:val="0"/>
          <w:caps w:val="0"/>
          <w:spacing w:val="15"/>
          <w:kern w:val="2"/>
          <w:sz w:val="28"/>
          <w:szCs w:val="28"/>
          <w:shd w:val="clear" w:color="auto" w:fill="FFFFFF"/>
          <w:lang w:val="en-US" w:eastAsia="zh-CN" w:bidi="ar-SA"/>
        </w:rPr>
      </w:pPr>
    </w:p>
    <w:p w14:paraId="6BCBCEDC">
      <w:pPr>
        <w:pStyle w:val="12"/>
        <w:rPr>
          <w:rFonts w:hint="default" w:ascii="仿宋" w:hAnsi="仿宋" w:eastAsia="仿宋" w:cs="仿宋"/>
          <w:b w:val="0"/>
          <w:bCs w:val="0"/>
          <w:i w:val="0"/>
          <w:iCs w:val="0"/>
          <w:caps w:val="0"/>
          <w:spacing w:val="15"/>
          <w:kern w:val="2"/>
          <w:sz w:val="28"/>
          <w:szCs w:val="28"/>
          <w:shd w:val="clear" w:color="auto" w:fill="FFFFFF"/>
          <w:lang w:val="en-US" w:eastAsia="zh-CN" w:bidi="ar-SA"/>
        </w:rPr>
      </w:pPr>
    </w:p>
    <w:p w14:paraId="754462DB">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D33B4B-2F58-4E68-ACC0-0A2D23E5576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6CD4807-8155-4EC6-BB7C-0765DF60220D}"/>
  </w:font>
  <w:font w:name="仿宋_GB2312">
    <w:altName w:val="仿宋"/>
    <w:panose1 w:val="02010609030101010101"/>
    <w:charset w:val="86"/>
    <w:family w:val="modern"/>
    <w:pitch w:val="default"/>
    <w:sig w:usb0="00000000" w:usb1="00000000" w:usb2="00000010" w:usb3="00000000" w:csb0="00040000" w:csb1="00000000"/>
    <w:embedRegular r:id="rId3" w:fontKey="{BF4A4D5D-F7DC-490D-A4B8-43CAC9676C5E}"/>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4" w:fontKey="{D2804E74-1166-4D2A-802B-8D3CFCD349CB}"/>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5" w:fontKey="{446FB080-8C52-45DD-A2A1-3BEF5088E2E9}"/>
  </w:font>
  <w:font w:name="华文仿宋">
    <w:panose1 w:val="02010600040101010101"/>
    <w:charset w:val="86"/>
    <w:family w:val="auto"/>
    <w:pitch w:val="default"/>
    <w:sig w:usb0="00000287" w:usb1="080F0000" w:usb2="00000000" w:usb3="00000000" w:csb0="0004009F" w:csb1="DFD70000"/>
    <w:embedRegular r:id="rId6" w:fontKey="{FA525142-3AFA-430A-8480-450AD2260D00}"/>
  </w:font>
  <w:font w:name="CESI仿宋-GB2312">
    <w:altName w:val="仿宋"/>
    <w:panose1 w:val="02000500000000000000"/>
    <w:charset w:val="86"/>
    <w:family w:val="auto"/>
    <w:pitch w:val="default"/>
    <w:sig w:usb0="00000000" w:usb1="00000000" w:usb2="00000010" w:usb3="00000000" w:csb0="0004000F" w:csb1="00000000"/>
    <w:embedRegular r:id="rId7" w:fontKey="{B38BE878-CC0A-4AAB-B3CC-9184743D2B97}"/>
  </w:font>
  <w:font w:name="Nimbus Roman No9 L">
    <w:altName w:val="华文中宋"/>
    <w:panose1 w:val="00000000000000000000"/>
    <w:charset w:val="00"/>
    <w:family w:val="auto"/>
    <w:pitch w:val="default"/>
    <w:sig w:usb0="00000000" w:usb1="00000000" w:usb2="00000000" w:usb3="00000000" w:csb0="00040001" w:csb1="00000000"/>
    <w:embedRegular r:id="rId8" w:fontKey="{41F26AB0-2EB9-4808-9A4A-08F2671C0852}"/>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9FC7E">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FA294"/>
    <w:multiLevelType w:val="singleLevel"/>
    <w:tmpl w:val="B3EFA294"/>
    <w:lvl w:ilvl="0" w:tentative="0">
      <w:start w:val="1"/>
      <w:numFmt w:val="decimal"/>
      <w:suff w:val="nothing"/>
      <w:lvlText w:val="%1、"/>
      <w:lvlJc w:val="left"/>
      <w:pPr>
        <w:ind w:left="0" w:firstLine="0"/>
      </w:pPr>
    </w:lvl>
  </w:abstractNum>
  <w:abstractNum w:abstractNumId="1">
    <w:nsid w:val="EEACBBEA"/>
    <w:multiLevelType w:val="singleLevel"/>
    <w:tmpl w:val="EEACBBE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hOWY5MTFlYzc3MjU1YWExNzk4ZTdlOGNlOGViNzkifQ=="/>
  </w:docVars>
  <w:rsids>
    <w:rsidRoot w:val="00734A17"/>
    <w:rsid w:val="00005780"/>
    <w:rsid w:val="00036B3C"/>
    <w:rsid w:val="00075AED"/>
    <w:rsid w:val="00075DEF"/>
    <w:rsid w:val="000B371D"/>
    <w:rsid w:val="000E3E2A"/>
    <w:rsid w:val="000F4748"/>
    <w:rsid w:val="0010141D"/>
    <w:rsid w:val="0011427E"/>
    <w:rsid w:val="00122A66"/>
    <w:rsid w:val="0013065A"/>
    <w:rsid w:val="00136CD4"/>
    <w:rsid w:val="0016085D"/>
    <w:rsid w:val="001A2B8C"/>
    <w:rsid w:val="001B48E7"/>
    <w:rsid w:val="001C03FA"/>
    <w:rsid w:val="001C3069"/>
    <w:rsid w:val="001D7429"/>
    <w:rsid w:val="001E6C2B"/>
    <w:rsid w:val="00224E2A"/>
    <w:rsid w:val="0023156E"/>
    <w:rsid w:val="00247995"/>
    <w:rsid w:val="00261E5A"/>
    <w:rsid w:val="002623B1"/>
    <w:rsid w:val="00264F8C"/>
    <w:rsid w:val="00281BC4"/>
    <w:rsid w:val="00283101"/>
    <w:rsid w:val="0028538F"/>
    <w:rsid w:val="00295D6C"/>
    <w:rsid w:val="002B0F85"/>
    <w:rsid w:val="003033E2"/>
    <w:rsid w:val="00304BA1"/>
    <w:rsid w:val="00315091"/>
    <w:rsid w:val="0031703B"/>
    <w:rsid w:val="0032006C"/>
    <w:rsid w:val="003370BA"/>
    <w:rsid w:val="003951A0"/>
    <w:rsid w:val="003A6CBA"/>
    <w:rsid w:val="003B7E5E"/>
    <w:rsid w:val="003C6BA9"/>
    <w:rsid w:val="003C7F66"/>
    <w:rsid w:val="003F23A7"/>
    <w:rsid w:val="004212E6"/>
    <w:rsid w:val="00461898"/>
    <w:rsid w:val="00465801"/>
    <w:rsid w:val="00470551"/>
    <w:rsid w:val="00492B72"/>
    <w:rsid w:val="00494D35"/>
    <w:rsid w:val="00496986"/>
    <w:rsid w:val="004A515A"/>
    <w:rsid w:val="004B5467"/>
    <w:rsid w:val="004C3F29"/>
    <w:rsid w:val="004C4F56"/>
    <w:rsid w:val="004D0F4E"/>
    <w:rsid w:val="00505CE6"/>
    <w:rsid w:val="00512182"/>
    <w:rsid w:val="00547D5D"/>
    <w:rsid w:val="00560C39"/>
    <w:rsid w:val="00561978"/>
    <w:rsid w:val="0057364F"/>
    <w:rsid w:val="00576E87"/>
    <w:rsid w:val="00577BB9"/>
    <w:rsid w:val="005A0704"/>
    <w:rsid w:val="005A7DED"/>
    <w:rsid w:val="005B1211"/>
    <w:rsid w:val="005C2C7D"/>
    <w:rsid w:val="005C3D4E"/>
    <w:rsid w:val="005C5296"/>
    <w:rsid w:val="005F60EE"/>
    <w:rsid w:val="006169A6"/>
    <w:rsid w:val="00620BC8"/>
    <w:rsid w:val="0063554A"/>
    <w:rsid w:val="006B3036"/>
    <w:rsid w:val="006E3F38"/>
    <w:rsid w:val="006E7C65"/>
    <w:rsid w:val="006F4D8D"/>
    <w:rsid w:val="00707524"/>
    <w:rsid w:val="007223A8"/>
    <w:rsid w:val="00726363"/>
    <w:rsid w:val="00734A17"/>
    <w:rsid w:val="00746087"/>
    <w:rsid w:val="00760591"/>
    <w:rsid w:val="007A6C94"/>
    <w:rsid w:val="007C1C18"/>
    <w:rsid w:val="007F039E"/>
    <w:rsid w:val="007F4D08"/>
    <w:rsid w:val="00817EAA"/>
    <w:rsid w:val="00845BF8"/>
    <w:rsid w:val="00855997"/>
    <w:rsid w:val="00871905"/>
    <w:rsid w:val="00873906"/>
    <w:rsid w:val="008846D0"/>
    <w:rsid w:val="00896945"/>
    <w:rsid w:val="0089748C"/>
    <w:rsid w:val="008A087F"/>
    <w:rsid w:val="008A4D4B"/>
    <w:rsid w:val="008B49CE"/>
    <w:rsid w:val="008B7618"/>
    <w:rsid w:val="008E7B62"/>
    <w:rsid w:val="008F3A4A"/>
    <w:rsid w:val="00914A2A"/>
    <w:rsid w:val="0092137F"/>
    <w:rsid w:val="00936E8A"/>
    <w:rsid w:val="00955CBA"/>
    <w:rsid w:val="0096705E"/>
    <w:rsid w:val="00972A88"/>
    <w:rsid w:val="00973A6C"/>
    <w:rsid w:val="0098253E"/>
    <w:rsid w:val="009902FC"/>
    <w:rsid w:val="00995DD6"/>
    <w:rsid w:val="009A3E00"/>
    <w:rsid w:val="009A439F"/>
    <w:rsid w:val="009D06D6"/>
    <w:rsid w:val="009E20D4"/>
    <w:rsid w:val="009E7F6C"/>
    <w:rsid w:val="009F779F"/>
    <w:rsid w:val="00A06D31"/>
    <w:rsid w:val="00A4106A"/>
    <w:rsid w:val="00A42138"/>
    <w:rsid w:val="00A62681"/>
    <w:rsid w:val="00A87D29"/>
    <w:rsid w:val="00AA29BB"/>
    <w:rsid w:val="00AA31F9"/>
    <w:rsid w:val="00AE00CA"/>
    <w:rsid w:val="00AE35D7"/>
    <w:rsid w:val="00AE57C8"/>
    <w:rsid w:val="00AE7254"/>
    <w:rsid w:val="00B2405E"/>
    <w:rsid w:val="00B444F6"/>
    <w:rsid w:val="00B4793F"/>
    <w:rsid w:val="00B47D5D"/>
    <w:rsid w:val="00B758E4"/>
    <w:rsid w:val="00B83DF8"/>
    <w:rsid w:val="00B878C0"/>
    <w:rsid w:val="00B97F19"/>
    <w:rsid w:val="00BA5445"/>
    <w:rsid w:val="00BB2A0C"/>
    <w:rsid w:val="00C16F79"/>
    <w:rsid w:val="00C26489"/>
    <w:rsid w:val="00C42909"/>
    <w:rsid w:val="00C46594"/>
    <w:rsid w:val="00C5127A"/>
    <w:rsid w:val="00C760D0"/>
    <w:rsid w:val="00C81844"/>
    <w:rsid w:val="00CA4E6A"/>
    <w:rsid w:val="00CA4F2D"/>
    <w:rsid w:val="00CB4A87"/>
    <w:rsid w:val="00CD19F9"/>
    <w:rsid w:val="00CD4199"/>
    <w:rsid w:val="00CF1C2B"/>
    <w:rsid w:val="00D3452A"/>
    <w:rsid w:val="00D37C4A"/>
    <w:rsid w:val="00D41B7E"/>
    <w:rsid w:val="00D65AA2"/>
    <w:rsid w:val="00D74EDB"/>
    <w:rsid w:val="00D843D9"/>
    <w:rsid w:val="00D97A81"/>
    <w:rsid w:val="00DA61AE"/>
    <w:rsid w:val="00DC15E3"/>
    <w:rsid w:val="00DC2590"/>
    <w:rsid w:val="00DC36B0"/>
    <w:rsid w:val="00DC778B"/>
    <w:rsid w:val="00DD7AEC"/>
    <w:rsid w:val="00DF6C25"/>
    <w:rsid w:val="00E33E07"/>
    <w:rsid w:val="00E5585B"/>
    <w:rsid w:val="00E759E5"/>
    <w:rsid w:val="00E761E4"/>
    <w:rsid w:val="00E80786"/>
    <w:rsid w:val="00EB1A2E"/>
    <w:rsid w:val="00EB31CD"/>
    <w:rsid w:val="00EB39C1"/>
    <w:rsid w:val="00EB787A"/>
    <w:rsid w:val="00EE2D77"/>
    <w:rsid w:val="00EE715F"/>
    <w:rsid w:val="00F220D6"/>
    <w:rsid w:val="00F4656C"/>
    <w:rsid w:val="00F77ADD"/>
    <w:rsid w:val="00F824C3"/>
    <w:rsid w:val="00F96C31"/>
    <w:rsid w:val="00F9784C"/>
    <w:rsid w:val="00FB183C"/>
    <w:rsid w:val="00FC22ED"/>
    <w:rsid w:val="383B7F36"/>
    <w:rsid w:val="4F4C36CD"/>
    <w:rsid w:val="5F1C4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qFormat/>
    <w:uiPriority w:val="0"/>
    <w:pPr>
      <w:snapToGrid w:val="0"/>
      <w:jc w:val="left"/>
    </w:pPr>
    <w:rPr>
      <w:sz w:val="18"/>
      <w:szCs w:val="18"/>
    </w:rPr>
  </w:style>
  <w:style w:type="paragraph" w:styleId="5">
    <w:name w:val="HTML Preformatted"/>
    <w:basedOn w:val="1"/>
    <w:unhideWhenUsed/>
    <w:qFormat/>
    <w:uiPriority w:val="99"/>
    <w:rPr>
      <w:rFonts w:ascii="Courier New" w:hAnsi="Courier New" w:cs="Courier New"/>
      <w:sz w:val="20"/>
      <w:szCs w:val="20"/>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3"/>
    <w:qFormat/>
    <w:uiPriority w:val="99"/>
    <w:rPr>
      <w:sz w:val="18"/>
      <w:szCs w:val="18"/>
    </w:rPr>
  </w:style>
  <w:style w:type="character" w:customStyle="1" w:styleId="10">
    <w:name w:val="页脚 Char"/>
    <w:basedOn w:val="8"/>
    <w:link w:val="2"/>
    <w:qFormat/>
    <w:uiPriority w:val="99"/>
    <w:rPr>
      <w:sz w:val="18"/>
      <w:szCs w:val="18"/>
    </w:rPr>
  </w:style>
  <w:style w:type="paragraph" w:styleId="11">
    <w:name w:val="List Paragraph"/>
    <w:basedOn w:val="1"/>
    <w:unhideWhenUsed/>
    <w:qFormat/>
    <w:uiPriority w:val="99"/>
    <w:pPr>
      <w:ind w:firstLine="420" w:firstLineChars="200"/>
    </w:pPr>
    <w:rPr>
      <w:szCs w:val="24"/>
    </w:rPr>
  </w:style>
  <w:style w:type="paragraph" w:customStyle="1" w:styleId="12">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1928</Words>
  <Characters>2058</Characters>
  <Lines>10</Lines>
  <Paragraphs>2</Paragraphs>
  <TotalTime>0</TotalTime>
  <ScaleCrop>false</ScaleCrop>
  <LinksUpToDate>false</LinksUpToDate>
  <CharactersWithSpaces>2188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2021-01-06T02:19:00Z</dcterms:created>
  <dc:creator>微软用户</dc:creator>
  <cp:lastModifiedBy>zmin</cp:lastModifiedBy>
  <dcterms:modified xsi:type="dcterms:W3CDTF">2024-10-12T08:28:14Z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C0D90452D3B14F7D8A2E90CDA1F89DED</vt:lpwstr>
  </property>
</Properties>
</file>