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after="0" w:line="6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沅江市</w:t>
      </w:r>
      <w:r>
        <w:rPr>
          <w:rFonts w:hint="eastAsia" w:ascii="方正小标宋简体" w:hAnsi="方正小标宋简体" w:eastAsia="方正小标宋简体" w:cs="方正小标宋简体"/>
          <w:sz w:val="44"/>
          <w:szCs w:val="44"/>
          <w:lang w:val="en-US" w:eastAsia="zh-CN"/>
        </w:rPr>
        <w:t>数据局（沅江市</w:t>
      </w:r>
      <w:r>
        <w:rPr>
          <w:rFonts w:hint="eastAsia" w:ascii="方正小标宋简体" w:hAnsi="方正小标宋简体" w:eastAsia="方正小标宋简体" w:cs="方正小标宋简体"/>
          <w:sz w:val="44"/>
          <w:szCs w:val="44"/>
        </w:rPr>
        <w:t>行政审批服务局</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年度整体支出绩效评价报告</w:t>
      </w:r>
    </w:p>
    <w:p>
      <w:pPr>
        <w:adjustRightInd/>
        <w:snapToGrid/>
        <w:spacing w:after="0" w:line="560" w:lineRule="exact"/>
        <w:ind w:firstLine="640"/>
        <w:jc w:val="both"/>
        <w:rPr>
          <w:rFonts w:hint="eastAsia" w:ascii="黑体" w:hAnsi="黑体" w:eastAsia="黑体" w:cs="Times New Roman"/>
          <w:sz w:val="32"/>
          <w:szCs w:val="32"/>
        </w:rPr>
      </w:pPr>
    </w:p>
    <w:p>
      <w:pPr>
        <w:keepNext w:val="0"/>
        <w:keepLines w:val="0"/>
        <w:pageBreakBefore w:val="0"/>
        <w:kinsoku/>
        <w:wordWrap/>
        <w:overflowPunct/>
        <w:topLinePunct w:val="0"/>
        <w:autoSpaceDE/>
        <w:autoSpaceDN/>
        <w:bidi w:val="0"/>
        <w:adjustRightInd/>
        <w:snapToGrid/>
        <w:spacing w:after="0" w:line="560" w:lineRule="exact"/>
        <w:ind w:firstLine="640"/>
        <w:jc w:val="both"/>
        <w:textAlignment w:val="auto"/>
        <w:rPr>
          <w:rFonts w:ascii="Times New Roman" w:hAnsi="Times New Roman" w:eastAsia="宋体" w:cs="Times New Roman"/>
          <w:sz w:val="21"/>
          <w:szCs w:val="21"/>
        </w:rPr>
      </w:pPr>
      <w:r>
        <w:rPr>
          <w:rFonts w:hint="eastAsia" w:ascii="黑体" w:hAnsi="黑体" w:eastAsia="黑体" w:cs="Times New Roman"/>
          <w:sz w:val="32"/>
          <w:szCs w:val="32"/>
        </w:rPr>
        <w:t>一、部门基本情况</w:t>
      </w:r>
    </w:p>
    <w:p>
      <w:pPr>
        <w:keepNext w:val="0"/>
        <w:keepLines w:val="0"/>
        <w:pageBreakBefore w:val="0"/>
        <w:kinsoku/>
        <w:wordWrap/>
        <w:overflowPunct/>
        <w:topLinePunct w:val="0"/>
        <w:autoSpaceDE/>
        <w:autoSpaceDN/>
        <w:bidi w:val="0"/>
        <w:adjustRightInd/>
        <w:snapToGrid/>
        <w:spacing w:after="0" w:line="560" w:lineRule="exact"/>
        <w:ind w:firstLine="640"/>
        <w:jc w:val="both"/>
        <w:textAlignment w:val="auto"/>
        <w:rPr>
          <w:rFonts w:ascii="华文楷体" w:hAnsi="华文楷体" w:eastAsia="华文楷体" w:cs="华文楷体"/>
          <w:sz w:val="21"/>
          <w:szCs w:val="21"/>
        </w:rPr>
      </w:pPr>
      <w:r>
        <w:rPr>
          <w:rFonts w:hint="eastAsia" w:ascii="华文楷体" w:hAnsi="华文楷体" w:eastAsia="华文楷体" w:cs="华文楷体"/>
          <w:sz w:val="32"/>
          <w:szCs w:val="32"/>
        </w:rPr>
        <w:t>（一）机构设置情况</w:t>
      </w:r>
    </w:p>
    <w:p>
      <w:pPr>
        <w:keepNext w:val="0"/>
        <w:keepLines w:val="0"/>
        <w:pageBreakBefore w:val="0"/>
        <w:kinsoku/>
        <w:wordWrap/>
        <w:overflowPunct/>
        <w:topLinePunct w:val="0"/>
        <w:autoSpaceDE/>
        <w:autoSpaceDN/>
        <w:bidi w:val="0"/>
        <w:adjustRightInd/>
        <w:snapToGrid/>
        <w:spacing w:after="0" w:line="560" w:lineRule="exact"/>
        <w:ind w:firstLine="640"/>
        <w:jc w:val="both"/>
        <w:textAlignment w:val="auto"/>
        <w:rPr>
          <w:rFonts w:ascii="仿宋_GB2312" w:hAnsi="仿宋_GB2312" w:eastAsia="仿宋_GB2312" w:cs="仿宋_GB2312"/>
          <w:sz w:val="21"/>
          <w:szCs w:val="21"/>
        </w:rPr>
      </w:pPr>
      <w:r>
        <w:rPr>
          <w:rFonts w:hint="eastAsia" w:ascii="仿宋_GB2312" w:hAnsi="仿宋_GB2312" w:eastAsia="仿宋_GB2312" w:cs="仿宋_GB2312"/>
          <w:sz w:val="32"/>
          <w:szCs w:val="32"/>
        </w:rPr>
        <w:t>沅江市</w:t>
      </w:r>
      <w:r>
        <w:rPr>
          <w:rFonts w:hint="eastAsia" w:ascii="仿宋_GB2312" w:hAnsi="仿宋_GB2312" w:eastAsia="仿宋_GB2312" w:cs="仿宋_GB2312"/>
          <w:sz w:val="32"/>
          <w:szCs w:val="32"/>
          <w:lang w:val="en-US" w:eastAsia="zh-CN"/>
        </w:rPr>
        <w:t>数据局（沅江市行政</w:t>
      </w:r>
      <w:r>
        <w:rPr>
          <w:rFonts w:hint="eastAsia" w:ascii="仿宋_GB2312" w:hAnsi="仿宋_GB2312" w:eastAsia="仿宋_GB2312" w:cs="仿宋_GB2312"/>
          <w:sz w:val="32"/>
          <w:szCs w:val="32"/>
        </w:rPr>
        <w:t>审批服务局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成立于20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月，根据编委核定，我局内设综合股、</w:t>
      </w:r>
      <w:r>
        <w:rPr>
          <w:rFonts w:hint="eastAsia" w:ascii="仿宋_GB2312" w:hAnsi="仿宋_GB2312" w:eastAsia="仿宋_GB2312" w:cs="仿宋_GB2312"/>
          <w:sz w:val="32"/>
          <w:szCs w:val="32"/>
          <w:lang w:val="en-US" w:eastAsia="zh-CN"/>
        </w:rPr>
        <w:t>数字规划建设股、数据资源应用股、数字政务服务股、</w:t>
      </w:r>
      <w:r>
        <w:rPr>
          <w:rFonts w:hint="eastAsia" w:ascii="仿宋_GB2312" w:hAnsi="仿宋_GB2312" w:eastAsia="仿宋_GB2312" w:cs="仿宋_GB2312"/>
          <w:sz w:val="32"/>
          <w:szCs w:val="32"/>
        </w:rPr>
        <w:t>行政审批改革股、</w:t>
      </w:r>
      <w:r>
        <w:rPr>
          <w:rFonts w:hint="eastAsia" w:ascii="仿宋_GB2312" w:hAnsi="仿宋_GB2312" w:eastAsia="仿宋_GB2312" w:cs="仿宋_GB2312"/>
          <w:sz w:val="32"/>
          <w:szCs w:val="32"/>
          <w:lang w:val="en-US" w:eastAsia="zh-CN"/>
        </w:rPr>
        <w:t>行政效能管理股</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个股室，所属正股级事业单位</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个（沅江市政务服务中心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沅江市数据资源服务中心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纳入202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年部门预算编制范围。 </w:t>
      </w:r>
    </w:p>
    <w:p>
      <w:pPr>
        <w:keepNext w:val="0"/>
        <w:keepLines w:val="0"/>
        <w:pageBreakBefore w:val="0"/>
        <w:kinsoku/>
        <w:wordWrap/>
        <w:overflowPunct/>
        <w:topLinePunct w:val="0"/>
        <w:autoSpaceDE/>
        <w:autoSpaceDN/>
        <w:bidi w:val="0"/>
        <w:adjustRightInd/>
        <w:snapToGrid/>
        <w:spacing w:after="0" w:line="560" w:lineRule="exact"/>
        <w:ind w:firstLine="643"/>
        <w:jc w:val="both"/>
        <w:textAlignment w:val="auto"/>
        <w:rPr>
          <w:rFonts w:ascii="华文楷体" w:hAnsi="华文楷体" w:eastAsia="华文楷体" w:cs="华文楷体"/>
          <w:sz w:val="32"/>
          <w:szCs w:val="32"/>
        </w:rPr>
      </w:pPr>
      <w:r>
        <w:rPr>
          <w:rFonts w:hint="eastAsia" w:ascii="华文楷体" w:hAnsi="华文楷体" w:eastAsia="华文楷体" w:cs="华文楷体"/>
          <w:sz w:val="32"/>
          <w:szCs w:val="32"/>
        </w:rPr>
        <w:t>（二）人员情况</w:t>
      </w:r>
    </w:p>
    <w:p>
      <w:pPr>
        <w:keepNext w:val="0"/>
        <w:keepLines w:val="0"/>
        <w:pageBreakBefore w:val="0"/>
        <w:kinsoku/>
        <w:wordWrap/>
        <w:overflowPunct/>
        <w:topLinePunct w:val="0"/>
        <w:autoSpaceDE/>
        <w:autoSpaceDN/>
        <w:bidi w:val="0"/>
        <w:adjustRightInd/>
        <w:snapToGrid/>
        <w:spacing w:after="0" w:line="560" w:lineRule="exact"/>
        <w:ind w:firstLine="640"/>
        <w:jc w:val="both"/>
        <w:textAlignment w:val="auto"/>
        <w:rPr>
          <w:rFonts w:ascii="仿宋_GB2312" w:hAnsi="仿宋_GB2312" w:eastAsia="仿宋_GB2312" w:cs="仿宋_GB2312"/>
          <w:sz w:val="21"/>
          <w:szCs w:val="21"/>
        </w:rPr>
      </w:pPr>
      <w:r>
        <w:rPr>
          <w:rFonts w:hint="eastAsia" w:ascii="仿宋_GB2312" w:hAnsi="仿宋_GB2312" w:eastAsia="仿宋_GB2312" w:cs="仿宋_GB2312"/>
          <w:sz w:val="32"/>
          <w:szCs w:val="32"/>
          <w:shd w:val="clear" w:color="auto" w:fill="FFFFFF"/>
        </w:rPr>
        <w:t>我局纳入部门预算编制</w:t>
      </w:r>
      <w:r>
        <w:rPr>
          <w:rFonts w:hint="eastAsia" w:ascii="仿宋_GB2312" w:hAnsi="仿宋_GB2312" w:eastAsia="仿宋_GB2312" w:cs="仿宋_GB2312"/>
          <w:sz w:val="32"/>
          <w:szCs w:val="32"/>
          <w:shd w:val="clear" w:color="auto" w:fill="FFFFFF"/>
          <w:lang w:val="en-US" w:eastAsia="zh-CN"/>
        </w:rPr>
        <w:t>26</w:t>
      </w:r>
      <w:r>
        <w:rPr>
          <w:rFonts w:hint="eastAsia" w:ascii="仿宋_GB2312" w:hAnsi="仿宋_GB2312" w:eastAsia="仿宋_GB2312" w:cs="仿宋_GB2312"/>
          <w:sz w:val="32"/>
          <w:szCs w:val="32"/>
          <w:shd w:val="clear" w:color="auto" w:fill="FFFFFF"/>
        </w:rPr>
        <w:t>人。其中：实有在职人员</w:t>
      </w:r>
      <w:r>
        <w:rPr>
          <w:rFonts w:hint="eastAsia" w:ascii="仿宋_GB2312" w:hAnsi="仿宋_GB2312" w:eastAsia="仿宋_GB2312" w:cs="仿宋_GB2312"/>
          <w:sz w:val="32"/>
          <w:szCs w:val="32"/>
          <w:shd w:val="clear" w:color="auto" w:fill="FFFFFF"/>
          <w:lang w:val="en-US" w:eastAsia="zh-CN"/>
        </w:rPr>
        <w:t>24</w:t>
      </w:r>
      <w:r>
        <w:rPr>
          <w:rFonts w:hint="eastAsia" w:ascii="仿宋_GB2312" w:hAnsi="仿宋_GB2312" w:eastAsia="仿宋_GB2312" w:cs="仿宋_GB2312"/>
          <w:sz w:val="32"/>
          <w:szCs w:val="32"/>
          <w:shd w:val="clear" w:color="auto" w:fill="FFFFFF"/>
        </w:rPr>
        <w:t>人，离退休人员</w:t>
      </w:r>
      <w:r>
        <w:rPr>
          <w:rFonts w:hint="eastAsia" w:ascii="仿宋_GB2312" w:hAnsi="仿宋_GB2312" w:eastAsia="仿宋_GB2312" w:cs="仿宋_GB2312"/>
          <w:sz w:val="32"/>
          <w:szCs w:val="32"/>
          <w:shd w:val="clear" w:color="auto" w:fill="FFFFFF"/>
          <w:lang w:val="en-US" w:eastAsia="zh-CN"/>
        </w:rPr>
        <w:t>1</w:t>
      </w:r>
      <w:r>
        <w:rPr>
          <w:rFonts w:hint="eastAsia" w:ascii="仿宋_GB2312" w:hAnsi="仿宋_GB2312" w:eastAsia="仿宋_GB2312" w:cs="仿宋_GB2312"/>
          <w:sz w:val="32"/>
          <w:szCs w:val="32"/>
          <w:shd w:val="clear" w:color="auto" w:fill="FFFFFF"/>
        </w:rPr>
        <w:t>人，遗属０人。</w:t>
      </w:r>
    </w:p>
    <w:p>
      <w:pPr>
        <w:keepNext w:val="0"/>
        <w:keepLines w:val="0"/>
        <w:pageBreakBefore w:val="0"/>
        <w:kinsoku/>
        <w:wordWrap/>
        <w:overflowPunct/>
        <w:topLinePunct w:val="0"/>
        <w:autoSpaceDE/>
        <w:autoSpaceDN/>
        <w:bidi w:val="0"/>
        <w:adjustRightInd/>
        <w:snapToGrid/>
        <w:spacing w:after="0" w:line="560" w:lineRule="exact"/>
        <w:ind w:firstLine="480"/>
        <w:jc w:val="both"/>
        <w:textAlignment w:val="auto"/>
        <w:rPr>
          <w:rFonts w:ascii="华文楷体" w:hAnsi="华文楷体" w:eastAsia="华文楷体" w:cs="华文楷体"/>
          <w:sz w:val="21"/>
          <w:szCs w:val="21"/>
        </w:rPr>
      </w:pPr>
      <w:r>
        <w:rPr>
          <w:rFonts w:hint="eastAsia" w:ascii="华文楷体" w:hAnsi="华文楷体" w:eastAsia="华文楷体" w:cs="华文楷体"/>
          <w:sz w:val="32"/>
          <w:szCs w:val="32"/>
        </w:rPr>
        <w:t>（三）主要工作职责</w:t>
      </w:r>
    </w:p>
    <w:p>
      <w:pPr>
        <w:keepNext w:val="0"/>
        <w:keepLines w:val="0"/>
        <w:pageBreakBefore w:val="0"/>
        <w:shd w:val="clear" w:color="auto" w:fill="FFFFFF"/>
        <w:kinsoku/>
        <w:wordWrap/>
        <w:overflowPunct/>
        <w:topLinePunct w:val="0"/>
        <w:autoSpaceDE/>
        <w:autoSpaceDN/>
        <w:bidi w:val="0"/>
        <w:adjustRightInd/>
        <w:snapToGrid/>
        <w:spacing w:after="0" w:line="560" w:lineRule="exact"/>
        <w:ind w:firstLine="640" w:firstLineChars="200"/>
        <w:jc w:val="both"/>
        <w:textAlignment w:val="auto"/>
        <w:rPr>
          <w:rFonts w:ascii="仿宋_GB2312" w:hAnsi="仿宋_GB2312" w:eastAsia="仿宋_GB2312" w:cs="仿宋_GB2312"/>
          <w:sz w:val="21"/>
          <w:szCs w:val="21"/>
        </w:rPr>
      </w:pPr>
      <w:r>
        <w:rPr>
          <w:rFonts w:hint="eastAsia" w:ascii="仿宋_GB2312" w:hAnsi="仿宋_GB2312" w:eastAsia="仿宋_GB2312" w:cs="仿宋_GB2312"/>
          <w:sz w:val="32"/>
          <w:szCs w:val="32"/>
          <w:lang w:val="en-US" w:eastAsia="zh-CN"/>
        </w:rPr>
        <w:t>深入</w:t>
      </w:r>
      <w:r>
        <w:rPr>
          <w:rFonts w:hint="eastAsia" w:ascii="仿宋_GB2312" w:hAnsi="仿宋_GB2312" w:eastAsia="仿宋_GB2312" w:cs="仿宋_GB2312"/>
          <w:sz w:val="32"/>
          <w:szCs w:val="32"/>
        </w:rPr>
        <w:t>贯彻落实党中央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省、益阳和沅江市委、市政府</w:t>
      </w:r>
      <w:r>
        <w:rPr>
          <w:rFonts w:hint="eastAsia" w:ascii="仿宋_GB2312" w:hAnsi="仿宋_GB2312" w:eastAsia="仿宋_GB2312" w:cs="仿宋_GB2312"/>
          <w:sz w:val="32"/>
          <w:szCs w:val="32"/>
        </w:rPr>
        <w:t>关于</w:t>
      </w:r>
      <w:r>
        <w:rPr>
          <w:rFonts w:hint="eastAsia" w:ascii="仿宋_GB2312" w:hAnsi="仿宋_GB2312" w:eastAsia="仿宋_GB2312" w:cs="仿宋_GB2312"/>
          <w:sz w:val="32"/>
          <w:szCs w:val="32"/>
          <w:lang w:val="en-US" w:eastAsia="zh-CN"/>
        </w:rPr>
        <w:t>数字政务服务和数据管理工作方面</w:t>
      </w:r>
      <w:r>
        <w:rPr>
          <w:rFonts w:hint="eastAsia" w:ascii="仿宋_GB2312" w:hAnsi="仿宋_GB2312" w:eastAsia="仿宋_GB2312" w:cs="仿宋_GB2312"/>
          <w:sz w:val="32"/>
          <w:szCs w:val="32"/>
        </w:rPr>
        <w:t>的方针政策和决策部署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数据赋能提升数字政务服务能力，</w:t>
      </w:r>
      <w:r>
        <w:rPr>
          <w:rFonts w:hint="eastAsia" w:ascii="Times New Roman" w:hAnsi="Times New Roman" w:eastAsia="仿宋_GB2312"/>
          <w:color w:val="auto"/>
          <w:sz w:val="32"/>
          <w:szCs w:val="32"/>
          <w:u w:val="none"/>
        </w:rPr>
        <w:t>以促进数据合规高效流通使用、赋能实体经济为主线，以数据要素产权、流通、分配、治理为重点，构建适应数据特征、符合数字经济发展规律、保障数据安全、彰显创新引领的数据制度。打通数据流通使用的堵点难点，充分挖掘数据要素潜能，以数字化驱动生产生活和社会治理方式变革。推动做强做大数字经济，推进数据基础设施建设高质量发展，打造数字产业集群，为</w:t>
      </w:r>
      <w:r>
        <w:rPr>
          <w:rFonts w:hint="eastAsia" w:ascii="Times New Roman" w:hAnsi="Times New Roman" w:eastAsia="仿宋_GB2312"/>
          <w:color w:val="auto"/>
          <w:sz w:val="32"/>
          <w:szCs w:val="32"/>
          <w:u w:val="none"/>
          <w:lang w:val="en-US" w:eastAsia="zh-CN"/>
        </w:rPr>
        <w:t>推动沅江</w:t>
      </w:r>
      <w:r>
        <w:rPr>
          <w:rFonts w:hint="eastAsia" w:ascii="Times New Roman" w:hAnsi="Times New Roman" w:eastAsia="仿宋_GB2312"/>
          <w:color w:val="auto"/>
          <w:sz w:val="32"/>
          <w:szCs w:val="32"/>
          <w:u w:val="none"/>
        </w:rPr>
        <w:t>经济社会</w:t>
      </w:r>
      <w:r>
        <w:rPr>
          <w:rFonts w:hint="eastAsia" w:ascii="Times New Roman" w:hAnsi="Times New Roman" w:eastAsia="仿宋_GB2312"/>
          <w:color w:val="auto"/>
          <w:sz w:val="32"/>
          <w:szCs w:val="32"/>
          <w:u w:val="none"/>
          <w:lang w:val="en-US" w:eastAsia="zh-CN"/>
        </w:rPr>
        <w:t>高质量</w:t>
      </w:r>
      <w:r>
        <w:rPr>
          <w:rFonts w:hint="eastAsia" w:ascii="Times New Roman" w:hAnsi="Times New Roman" w:eastAsia="仿宋_GB2312"/>
          <w:color w:val="auto"/>
          <w:sz w:val="32"/>
          <w:szCs w:val="32"/>
          <w:u w:val="none"/>
        </w:rPr>
        <w:t>发展提供新动能</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after="0" w:line="560" w:lineRule="exact"/>
        <w:ind w:firstLine="640"/>
        <w:jc w:val="both"/>
        <w:textAlignment w:val="auto"/>
        <w:rPr>
          <w:rFonts w:ascii="Times New Roman" w:hAnsi="Times New Roman" w:eastAsia="宋体" w:cs="Times New Roman"/>
          <w:sz w:val="21"/>
          <w:szCs w:val="21"/>
        </w:rPr>
      </w:pPr>
      <w:r>
        <w:rPr>
          <w:rFonts w:hint="eastAsia" w:ascii="黑体" w:hAnsi="黑体" w:eastAsia="黑体" w:cs="Times New Roman"/>
          <w:sz w:val="32"/>
          <w:szCs w:val="32"/>
        </w:rPr>
        <w:t>二、部门整体支出使用情况</w:t>
      </w:r>
    </w:p>
    <w:p>
      <w:pPr>
        <w:keepNext w:val="0"/>
        <w:keepLines w:val="0"/>
        <w:pageBreakBefore w:val="0"/>
        <w:kinsoku/>
        <w:wordWrap/>
        <w:overflowPunct/>
        <w:topLinePunct w:val="0"/>
        <w:autoSpaceDE/>
        <w:autoSpaceDN/>
        <w:bidi w:val="0"/>
        <w:adjustRightInd/>
        <w:snapToGrid/>
        <w:spacing w:after="0" w:line="560" w:lineRule="exact"/>
        <w:ind w:firstLine="643"/>
        <w:jc w:val="both"/>
        <w:textAlignment w:val="auto"/>
        <w:rPr>
          <w:rFonts w:ascii="华文楷体" w:hAnsi="华文楷体" w:eastAsia="华文楷体" w:cs="华文楷体"/>
          <w:sz w:val="21"/>
          <w:szCs w:val="21"/>
        </w:rPr>
      </w:pPr>
      <w:r>
        <w:rPr>
          <w:rFonts w:hint="eastAsia" w:ascii="华文楷体" w:hAnsi="华文楷体" w:eastAsia="华文楷体" w:cs="华文楷体"/>
          <w:sz w:val="32"/>
          <w:szCs w:val="32"/>
        </w:rPr>
        <w:t>（一）基本支出</w:t>
      </w:r>
    </w:p>
    <w:p>
      <w:pPr>
        <w:keepNext w:val="0"/>
        <w:keepLines w:val="0"/>
        <w:pageBreakBefore w:val="0"/>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1.基本支出的主要用途范围及资金的管理情况。202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年度一</w:t>
      </w:r>
      <w:r>
        <w:rPr>
          <w:rFonts w:hint="eastAsia" w:ascii="仿宋_GB2312" w:hAnsi="仿宋_GB2312" w:eastAsia="仿宋_GB2312" w:cs="仿宋_GB2312"/>
          <w:sz w:val="32"/>
          <w:szCs w:val="32"/>
          <w:lang w:val="en-US" w:eastAsia="zh-CN"/>
        </w:rPr>
        <w:t>般公共预算财政拨款基本支出330.37万元，其中工资福利支出278.76万元，主要包括：基本工资、津贴补贴、奖金、绩效工资、机关事业单位基本养老保险缴费、职工基本医疗保险缴费、其他社会保障缴费、住房公积金等。商品和服务支出51.61万元，主要包括：办公费、印刷费、邮电费、差旅费、维修（护）费、培训费、公务接待费、劳务费、工会经费、其他交通费用、其他商品和服务支出。</w:t>
      </w:r>
    </w:p>
    <w:p>
      <w:pPr>
        <w:keepNext w:val="0"/>
        <w:keepLines w:val="0"/>
        <w:pageBreakBefore w:val="0"/>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2.年初总预算支出情况。2025年年初预算752.23万元，其中人员支出231.16万元，公用经费18.4万元，项目支出502.67万元。</w:t>
      </w:r>
    </w:p>
    <w:p>
      <w:pPr>
        <w:keepNext w:val="0"/>
        <w:keepLines w:val="0"/>
        <w:pageBreakBefore w:val="0"/>
        <w:kinsoku/>
        <w:wordWrap/>
        <w:overflowPunct/>
        <w:topLinePunct w:val="0"/>
        <w:autoSpaceDE/>
        <w:autoSpaceDN/>
        <w:bidi w:val="0"/>
        <w:adjustRightInd/>
        <w:snapToGrid/>
        <w:spacing w:after="0"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年财政拨款预算追加及年度可用财政拨款预算指标情况。2025年年中财政财政拨款预算追加856.52万元，主要包括窗口工作人员餐补114.53万元、政务信息化项目69万元、湘易办移动端建设项目34.02万元、政务云平台租赁费445.87万元、其他数据事务支出150.69万元、窗口工作人员工装采购费用49.6万元、数据资源服务中心运行维护管理专项经费52.4万元、高质量发展和真抓实干奖励14.23万元等费用。</w:t>
      </w:r>
    </w:p>
    <w:p>
      <w:pPr>
        <w:keepNext w:val="0"/>
        <w:keepLines w:val="0"/>
        <w:pageBreakBefore w:val="0"/>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4.年度预算收入决算情况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2025年本</w:t>
      </w:r>
      <w:r>
        <w:rPr>
          <w:rFonts w:hint="eastAsia" w:ascii="仿宋_GB2312" w:hAnsi="仿宋_GB2312" w:eastAsia="仿宋_GB2312" w:cs="仿宋_GB2312"/>
          <w:sz w:val="32"/>
          <w:szCs w:val="32"/>
        </w:rPr>
        <w:t>年收入决算数</w:t>
      </w:r>
      <w:r>
        <w:rPr>
          <w:rFonts w:hint="eastAsia" w:ascii="仿宋_GB2312" w:hAnsi="仿宋_GB2312" w:eastAsia="仿宋_GB2312" w:cs="仿宋_GB2312"/>
          <w:sz w:val="32"/>
          <w:szCs w:val="32"/>
          <w:lang w:val="en-US" w:eastAsia="zh-CN"/>
        </w:rPr>
        <w:t>1608.75</w:t>
      </w:r>
      <w:r>
        <w:rPr>
          <w:rFonts w:hint="eastAsia" w:ascii="仿宋_GB2312" w:hAnsi="仿宋_GB2312" w:eastAsia="仿宋_GB2312" w:cs="仿宋_GB2312"/>
          <w:sz w:val="32"/>
          <w:szCs w:val="32"/>
        </w:rPr>
        <w:t>万元。其中财政拨款预算收入</w:t>
      </w:r>
      <w:r>
        <w:rPr>
          <w:rFonts w:hint="eastAsia" w:ascii="仿宋_GB2312" w:hAnsi="仿宋_GB2312" w:eastAsia="仿宋_GB2312" w:cs="仿宋_GB2312"/>
          <w:sz w:val="32"/>
          <w:szCs w:val="32"/>
          <w:lang w:val="en-US" w:eastAsia="zh-CN"/>
        </w:rPr>
        <w:t>1608.75</w:t>
      </w:r>
      <w:r>
        <w:rPr>
          <w:rFonts w:hint="eastAsia" w:ascii="仿宋_GB2312" w:hAnsi="仿宋_GB2312" w:eastAsia="仿宋_GB2312" w:cs="仿宋_GB2312"/>
          <w:sz w:val="32"/>
          <w:szCs w:val="32"/>
        </w:rPr>
        <w:t>万元，其他预算收入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keepNext w:val="0"/>
        <w:keepLines w:val="0"/>
        <w:pageBreakBefore w:val="0"/>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5.年度预算支出决算及结余情况。</w:t>
      </w:r>
      <w:r>
        <w:rPr>
          <w:rFonts w:hint="eastAsia" w:ascii="仿宋_GB2312" w:hAnsi="仿宋_GB2312" w:eastAsia="仿宋_GB2312" w:cs="仿宋_GB2312"/>
          <w:sz w:val="32"/>
          <w:szCs w:val="32"/>
          <w:lang w:val="en-US" w:eastAsia="zh-CN"/>
        </w:rPr>
        <w:t>2025年度总支出1608.75万元，</w:t>
      </w:r>
      <w:r>
        <w:rPr>
          <w:rFonts w:hint="eastAsia" w:ascii="仿宋_GB2312" w:hAnsi="仿宋_GB2312" w:eastAsia="仿宋_GB2312" w:cs="仿宋_GB2312"/>
          <w:sz w:val="32"/>
          <w:szCs w:val="32"/>
        </w:rPr>
        <w:t>较202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年年初预算</w:t>
      </w:r>
      <w:r>
        <w:rPr>
          <w:rFonts w:hint="eastAsia" w:ascii="仿宋_GB2312" w:hAnsi="仿宋_GB2312" w:eastAsia="仿宋_GB2312" w:cs="仿宋_GB2312"/>
          <w:sz w:val="32"/>
          <w:szCs w:val="32"/>
          <w:lang w:val="en-US" w:eastAsia="zh-CN"/>
        </w:rPr>
        <w:t>支出752.23</w:t>
      </w:r>
      <w:r>
        <w:rPr>
          <w:rFonts w:hint="eastAsia" w:ascii="仿宋_GB2312" w:hAnsi="仿宋_GB2312" w:eastAsia="仿宋_GB2312" w:cs="仿宋_GB2312"/>
          <w:sz w:val="32"/>
          <w:szCs w:val="32"/>
        </w:rPr>
        <w:t>万元增加</w:t>
      </w:r>
      <w:r>
        <w:rPr>
          <w:rFonts w:hint="eastAsia" w:ascii="仿宋_GB2312" w:hAnsi="仿宋_GB2312" w:eastAsia="仿宋_GB2312" w:cs="仿宋_GB2312"/>
          <w:sz w:val="32"/>
          <w:szCs w:val="32"/>
          <w:lang w:val="en-US" w:eastAsia="zh-CN"/>
        </w:rPr>
        <w:t>了856.52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结余0万元。</w:t>
      </w:r>
    </w:p>
    <w:p>
      <w:pPr>
        <w:keepNext w:val="0"/>
        <w:keepLines w:val="0"/>
        <w:pageBreakBefore w:val="0"/>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6.“三公</w:t>
      </w:r>
      <w:bookmarkStart w:id="0" w:name="_GoBack"/>
      <w:bookmarkEnd w:id="0"/>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经费情况。202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年度“三公”经费财政拨款支出总计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万元，其中因公出国（境）费支出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万元、公务用车购置和运行维护费支出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万元，公务接待费支出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万元，较去年公务接待费</w:t>
      </w:r>
      <w:r>
        <w:rPr>
          <w:rFonts w:hint="eastAsia" w:ascii="仿宋_GB2312" w:hAnsi="仿宋_GB2312" w:eastAsia="仿宋_GB2312" w:cs="仿宋_GB2312"/>
          <w:sz w:val="32"/>
          <w:szCs w:val="32"/>
          <w:lang w:val="en-US" w:eastAsia="zh-CN"/>
        </w:rPr>
        <w:t>大幅度下降</w:t>
      </w:r>
      <w:r>
        <w:rPr>
          <w:rFonts w:hint="eastAsia" w:ascii="仿宋_GB2312" w:hAnsi="仿宋_GB2312" w:eastAsia="仿宋_GB2312" w:cs="仿宋_GB2312"/>
          <w:sz w:val="32"/>
          <w:szCs w:val="32"/>
          <w:lang w:val="zh-CN"/>
        </w:rPr>
        <w:t>。</w:t>
      </w:r>
    </w:p>
    <w:p>
      <w:pPr>
        <w:keepNext w:val="0"/>
        <w:keepLines w:val="0"/>
        <w:pageBreakBefore w:val="0"/>
        <w:kinsoku/>
        <w:wordWrap/>
        <w:overflowPunct/>
        <w:topLinePunct w:val="0"/>
        <w:autoSpaceDE/>
        <w:autoSpaceDN/>
        <w:bidi w:val="0"/>
        <w:adjustRightInd/>
        <w:snapToGrid/>
        <w:spacing w:after="0" w:line="560" w:lineRule="exact"/>
        <w:ind w:firstLine="640"/>
        <w:jc w:val="both"/>
        <w:textAlignment w:val="auto"/>
        <w:rPr>
          <w:rFonts w:ascii="华文楷体" w:hAnsi="华文楷体" w:eastAsia="华文楷体" w:cs="华文楷体"/>
          <w:sz w:val="21"/>
          <w:szCs w:val="21"/>
        </w:rPr>
      </w:pPr>
      <w:r>
        <w:rPr>
          <w:rFonts w:hint="eastAsia" w:ascii="华文楷体" w:hAnsi="华文楷体" w:eastAsia="华文楷体" w:cs="华文楷体"/>
          <w:sz w:val="32"/>
          <w:szCs w:val="32"/>
        </w:rPr>
        <w:t>（二）专项支出管理使用情况</w:t>
      </w:r>
    </w:p>
    <w:p>
      <w:pPr>
        <w:keepNext w:val="0"/>
        <w:keepLines w:val="0"/>
        <w:pageBreakBefore w:val="0"/>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专项资金包括劳务派遣人员工资、大厅营运维护费用、物业管理费、</w:t>
      </w:r>
      <w:r>
        <w:rPr>
          <w:rFonts w:hint="eastAsia" w:ascii="仿宋_GB2312" w:hAnsi="仿宋_GB2312" w:eastAsia="仿宋_GB2312" w:cs="仿宋_GB2312"/>
          <w:sz w:val="32"/>
          <w:szCs w:val="32"/>
          <w:lang w:val="en-US" w:eastAsia="zh-CN"/>
        </w:rPr>
        <w:t>地下停车位租金、信息中心调入项目、大厅政务服务免费邮寄费</w:t>
      </w:r>
      <w:r>
        <w:rPr>
          <w:rFonts w:hint="eastAsia" w:ascii="仿宋_GB2312" w:hAnsi="仿宋_GB2312" w:eastAsia="仿宋_GB2312" w:cs="仿宋_GB2312"/>
          <w:sz w:val="32"/>
          <w:szCs w:val="32"/>
        </w:rPr>
        <w:t>、电费及水费、</w:t>
      </w:r>
      <w:r>
        <w:rPr>
          <w:rFonts w:hint="eastAsia" w:ascii="仿宋_GB2312" w:hAnsi="仿宋_GB2312" w:eastAsia="仿宋_GB2312" w:cs="仿宋_GB2312"/>
          <w:sz w:val="32"/>
          <w:szCs w:val="32"/>
          <w:lang w:val="en-US" w:eastAsia="zh-CN"/>
        </w:rPr>
        <w:t>食堂补贴、瑞丰市场物业管理费等</w:t>
      </w:r>
      <w:r>
        <w:rPr>
          <w:rFonts w:hint="eastAsia" w:ascii="仿宋_GB2312" w:hAnsi="仿宋_GB2312" w:eastAsia="仿宋_GB2312" w:cs="仿宋_GB2312"/>
          <w:sz w:val="32"/>
          <w:szCs w:val="32"/>
        </w:rPr>
        <w:t>费用</w:t>
      </w:r>
      <w:r>
        <w:rPr>
          <w:rFonts w:hint="eastAsia" w:ascii="仿宋_GB2312" w:hAnsi="仿宋_GB2312" w:eastAsia="仿宋_GB2312" w:cs="仿宋_GB2312"/>
          <w:sz w:val="32"/>
          <w:szCs w:val="32"/>
          <w:lang w:val="en-US" w:eastAsia="zh-CN"/>
        </w:rPr>
        <w:t>479.44</w:t>
      </w:r>
      <w:r>
        <w:rPr>
          <w:rFonts w:hint="eastAsia" w:ascii="仿宋_GB2312" w:hAnsi="仿宋_GB2312" w:eastAsia="仿宋_GB2312" w:cs="仿宋_GB2312"/>
          <w:sz w:val="32"/>
          <w:szCs w:val="32"/>
        </w:rPr>
        <w:t>万元，其他自筹资金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元。</w:t>
      </w:r>
    </w:p>
    <w:p>
      <w:pPr>
        <w:keepNext w:val="0"/>
        <w:keepLines w:val="0"/>
        <w:pageBreakBefore w:val="0"/>
        <w:shd w:val="clear" w:color="auto" w:fill="FFFFFF"/>
        <w:kinsoku/>
        <w:wordWrap/>
        <w:overflowPunct/>
        <w:topLinePunct w:val="0"/>
        <w:autoSpaceDE/>
        <w:autoSpaceDN/>
        <w:bidi w:val="0"/>
        <w:adjustRightInd/>
        <w:snapToGrid/>
        <w:spacing w:after="0" w:line="560" w:lineRule="exact"/>
        <w:ind w:firstLine="640"/>
        <w:jc w:val="both"/>
        <w:textAlignment w:val="auto"/>
        <w:rPr>
          <w:rFonts w:ascii="Helvetica" w:hAnsi="Helvetica" w:eastAsia="宋体" w:cs="Helvetica"/>
          <w:sz w:val="24"/>
          <w:szCs w:val="24"/>
        </w:rPr>
      </w:pPr>
      <w:r>
        <w:rPr>
          <w:rFonts w:hint="eastAsia" w:ascii="黑体" w:hAnsi="黑体" w:eastAsia="黑体" w:cs="Helvetica"/>
          <w:sz w:val="32"/>
          <w:szCs w:val="32"/>
          <w:shd w:val="clear" w:color="auto" w:fill="FFFFFF"/>
        </w:rPr>
        <w:t>三、单位专项组织实施情况</w:t>
      </w:r>
      <w:r>
        <w:rPr>
          <w:rFonts w:hint="eastAsia" w:ascii="黑体" w:hAnsi="黑体" w:eastAsia="黑体" w:cs="Helvetica"/>
          <w:sz w:val="32"/>
          <w:szCs w:val="32"/>
        </w:rPr>
        <w:t xml:space="preserve"> </w:t>
      </w:r>
    </w:p>
    <w:p>
      <w:pPr>
        <w:keepNext w:val="0"/>
        <w:keepLines w:val="0"/>
        <w:pageBreakBefore w:val="0"/>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1.专项组织情况方面。加强专项项目组织管理，</w:t>
      </w:r>
      <w:r>
        <w:rPr>
          <w:rFonts w:hint="eastAsia" w:ascii="仿宋_GB2312" w:hAnsi="仿宋_GB2312" w:eastAsia="仿宋_GB2312" w:cs="仿宋_GB2312"/>
          <w:sz w:val="32"/>
          <w:szCs w:val="32"/>
          <w:lang w:val="en-US" w:eastAsia="zh-CN"/>
        </w:rPr>
        <w:t>深入贯彻落实中央八项规定精神，</w:t>
      </w:r>
      <w:r>
        <w:rPr>
          <w:rFonts w:hint="eastAsia" w:ascii="仿宋_GB2312" w:hAnsi="仿宋_GB2312" w:eastAsia="仿宋_GB2312" w:cs="仿宋_GB2312"/>
          <w:sz w:val="32"/>
          <w:szCs w:val="32"/>
        </w:rPr>
        <w:t xml:space="preserve">严格落实财务管理制度。 </w:t>
      </w:r>
    </w:p>
    <w:p>
      <w:pPr>
        <w:keepNext w:val="0"/>
        <w:keepLines w:val="0"/>
        <w:pageBreakBefore w:val="0"/>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2.专项管理情况方面。一是严格执行项目预</w:t>
      </w:r>
      <w:r>
        <w:rPr>
          <w:rFonts w:hint="eastAsia" w:ascii="仿宋_GB2312" w:hAnsi="仿宋_GB2312" w:eastAsia="仿宋_GB2312" w:cs="仿宋_GB2312"/>
          <w:sz w:val="32"/>
          <w:szCs w:val="32"/>
          <w:lang w:eastAsia="zh-CN"/>
        </w:rPr>
        <w:t>算</w:t>
      </w:r>
      <w:r>
        <w:rPr>
          <w:rFonts w:hint="eastAsia" w:ascii="仿宋_GB2312" w:hAnsi="仿宋_GB2312" w:eastAsia="仿宋_GB2312" w:cs="仿宋_GB2312"/>
          <w:sz w:val="32"/>
          <w:szCs w:val="32"/>
        </w:rPr>
        <w:t>、结算审核制度。二是严格按照既定的项目实施方案，及时完善项目管理制度，认真开展财务决算工作，充分发挥资金的使用效益。</w:t>
      </w:r>
    </w:p>
    <w:p>
      <w:pPr>
        <w:keepNext w:val="0"/>
        <w:keepLines w:val="0"/>
        <w:pageBreakBefore w:val="0"/>
        <w:shd w:val="clear" w:color="auto" w:fill="FFFFFF"/>
        <w:kinsoku/>
        <w:wordWrap/>
        <w:overflowPunct/>
        <w:topLinePunct w:val="0"/>
        <w:autoSpaceDE/>
        <w:autoSpaceDN/>
        <w:bidi w:val="0"/>
        <w:adjustRightInd/>
        <w:snapToGrid/>
        <w:spacing w:after="0" w:line="560" w:lineRule="exact"/>
        <w:ind w:firstLine="640"/>
        <w:jc w:val="both"/>
        <w:textAlignment w:val="auto"/>
        <w:rPr>
          <w:rFonts w:ascii="Helvetica" w:hAnsi="Helvetica" w:eastAsia="宋体" w:cs="Helvetica"/>
          <w:sz w:val="24"/>
          <w:szCs w:val="24"/>
        </w:rPr>
      </w:pPr>
      <w:r>
        <w:rPr>
          <w:rFonts w:hint="eastAsia" w:ascii="黑体" w:hAnsi="黑体" w:eastAsia="黑体" w:cs="Helvetica"/>
          <w:sz w:val="32"/>
          <w:szCs w:val="32"/>
          <w:shd w:val="clear" w:color="auto" w:fill="FFFFFF"/>
        </w:rPr>
        <w:t>四、资产管理情况</w:t>
      </w:r>
      <w:r>
        <w:rPr>
          <w:rFonts w:hint="eastAsia" w:ascii="黑体" w:hAnsi="黑体" w:eastAsia="黑体" w:cs="Helvetica"/>
          <w:sz w:val="32"/>
          <w:szCs w:val="32"/>
        </w:rPr>
        <w:t xml:space="preserve"> </w:t>
      </w:r>
    </w:p>
    <w:p>
      <w:pPr>
        <w:keepNext w:val="0"/>
        <w:keepLines w:val="0"/>
        <w:pageBreakBefore w:val="0"/>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为加强单位国有资产管理，提高资产使用效益，依据《行政事业单位国有资产管理办法》，规定了资产管理部门以及工作人员职责，规范资产配置、管理、处置等有关程序。</w:t>
      </w:r>
    </w:p>
    <w:p>
      <w:pPr>
        <w:keepNext w:val="0"/>
        <w:keepLines w:val="0"/>
        <w:pageBreakBefore w:val="0"/>
        <w:kinsoku/>
        <w:wordWrap/>
        <w:overflowPunct/>
        <w:topLinePunct w:val="0"/>
        <w:autoSpaceDE/>
        <w:autoSpaceDN/>
        <w:bidi w:val="0"/>
        <w:adjustRightInd/>
        <w:snapToGrid/>
        <w:spacing w:after="0" w:line="560" w:lineRule="exact"/>
        <w:ind w:firstLine="640"/>
        <w:jc w:val="both"/>
        <w:textAlignment w:val="auto"/>
        <w:rPr>
          <w:rFonts w:ascii="华文楷体" w:hAnsi="华文楷体" w:eastAsia="华文楷体" w:cs="华文楷体"/>
          <w:sz w:val="24"/>
          <w:szCs w:val="24"/>
        </w:rPr>
      </w:pPr>
      <w:r>
        <w:rPr>
          <w:rFonts w:hint="eastAsia" w:ascii="华文楷体" w:hAnsi="华文楷体" w:eastAsia="华文楷体" w:cs="华文楷体"/>
          <w:sz w:val="32"/>
          <w:szCs w:val="32"/>
        </w:rPr>
        <w:t>（一）固定资产的购置</w:t>
      </w:r>
    </w:p>
    <w:p>
      <w:pPr>
        <w:keepNext w:val="0"/>
        <w:keepLines w:val="0"/>
        <w:pageBreakBefore w:val="0"/>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1.每年按照财政预算经费安排设备购置计划，</w:t>
      </w:r>
      <w:r>
        <w:rPr>
          <w:rFonts w:hint="eastAsia" w:ascii="仿宋_GB2312" w:hAnsi="仿宋_GB2312" w:eastAsia="仿宋_GB2312" w:cs="仿宋_GB2312"/>
          <w:sz w:val="32"/>
          <w:szCs w:val="32"/>
          <w:lang w:eastAsia="zh-CN"/>
        </w:rPr>
        <w:t>综合股</w:t>
      </w:r>
      <w:r>
        <w:rPr>
          <w:rFonts w:hint="eastAsia" w:ascii="仿宋_GB2312" w:hAnsi="仿宋_GB2312" w:eastAsia="仿宋_GB2312" w:cs="仿宋_GB2312"/>
          <w:sz w:val="32"/>
          <w:szCs w:val="32"/>
        </w:rPr>
        <w:t>根据当年办公设备购置需要，与资金计划衔接，制订固定资产购置计划，经领导审定批准后实施。</w:t>
      </w:r>
    </w:p>
    <w:p>
      <w:pPr>
        <w:keepNext w:val="0"/>
        <w:keepLines w:val="0"/>
        <w:pageBreakBefore w:val="0"/>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2.属政府采购范围内的固定资产，不得自行采购。先由业务股室填报设备政府采购申请表，再由综合股根据经费来源，向财政政府采购中心办理购置、结算手续。</w:t>
      </w:r>
    </w:p>
    <w:p>
      <w:pPr>
        <w:keepNext w:val="0"/>
        <w:keepLines w:val="0"/>
        <w:pageBreakBefore w:val="0"/>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3.不属于政府采购范围的固定资产，应在进行广泛的市场询价基础上择优购置。</w:t>
      </w:r>
    </w:p>
    <w:p>
      <w:pPr>
        <w:keepNext w:val="0"/>
        <w:keepLines w:val="0"/>
        <w:pageBreakBefore w:val="0"/>
        <w:shd w:val="clear" w:color="auto" w:fill="FFFFFF"/>
        <w:kinsoku/>
        <w:wordWrap/>
        <w:overflowPunct/>
        <w:topLinePunct w:val="0"/>
        <w:autoSpaceDE/>
        <w:autoSpaceDN/>
        <w:bidi w:val="0"/>
        <w:adjustRightInd/>
        <w:snapToGrid/>
        <w:spacing w:after="0" w:line="560" w:lineRule="exact"/>
        <w:ind w:firstLine="640"/>
        <w:jc w:val="both"/>
        <w:textAlignment w:val="auto"/>
        <w:rPr>
          <w:rFonts w:ascii="华文楷体" w:hAnsi="华文楷体" w:eastAsia="华文楷体" w:cs="华文楷体"/>
          <w:sz w:val="32"/>
          <w:szCs w:val="32"/>
          <w:shd w:val="clear" w:color="auto" w:fill="FFFFFF"/>
        </w:rPr>
      </w:pPr>
      <w:r>
        <w:rPr>
          <w:rFonts w:hint="eastAsia" w:ascii="华文楷体" w:hAnsi="华文楷体" w:eastAsia="华文楷体" w:cs="华文楷体"/>
          <w:sz w:val="32"/>
          <w:szCs w:val="32"/>
        </w:rPr>
        <w:t>（二） 固定资产的验收、保管、使用（包括借用、调拨）、报废</w:t>
      </w:r>
    </w:p>
    <w:p>
      <w:pPr>
        <w:keepNext w:val="0"/>
        <w:keepLines w:val="0"/>
        <w:pageBreakBefore w:val="0"/>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1.新购入的固定资产，应先做好验收工作。由使用部门及使用人验收，验收人员严格把关，对所验固定资产的数量、质量、附件、资料等认真检查。经股室</w:t>
      </w:r>
      <w:r>
        <w:rPr>
          <w:rFonts w:hint="eastAsia" w:ascii="仿宋_GB2312" w:hAnsi="仿宋_GB2312" w:eastAsia="仿宋_GB2312" w:cs="仿宋_GB2312"/>
          <w:sz w:val="32"/>
          <w:szCs w:val="32"/>
          <w:lang w:val="en-US" w:eastAsia="zh-CN"/>
        </w:rPr>
        <w:t>(中心)</w:t>
      </w:r>
      <w:r>
        <w:rPr>
          <w:rFonts w:hint="eastAsia" w:ascii="仿宋_GB2312" w:hAnsi="仿宋_GB2312" w:eastAsia="仿宋_GB2312" w:cs="仿宋_GB2312"/>
          <w:sz w:val="32"/>
          <w:szCs w:val="32"/>
        </w:rPr>
        <w:t>分管领导签署意见登记备案后，连同发票交综合股登记核算。</w:t>
      </w:r>
    </w:p>
    <w:p>
      <w:pPr>
        <w:keepNext w:val="0"/>
        <w:keepLines w:val="0"/>
        <w:pageBreakBefore w:val="0"/>
        <w:kinsoku/>
        <w:wordWrap/>
        <w:overflowPunct/>
        <w:topLinePunct w:val="0"/>
        <w:autoSpaceDE/>
        <w:autoSpaceDN/>
        <w:bidi w:val="0"/>
        <w:adjustRightInd/>
        <w:snapToGrid/>
        <w:spacing w:after="0" w:line="56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2.单位使用的固定资产，领用及保管要落实使用责任人。贵重财产除安排专人保管外，还要落实安全保管措施。股室</w:t>
      </w:r>
      <w:r>
        <w:rPr>
          <w:rFonts w:hint="eastAsia" w:ascii="仿宋_GB2312" w:hAnsi="仿宋_GB2312" w:eastAsia="仿宋_GB2312" w:cs="仿宋_GB2312"/>
          <w:sz w:val="32"/>
          <w:szCs w:val="32"/>
          <w:lang w:val="en-US" w:eastAsia="zh-CN"/>
        </w:rPr>
        <w:t>(中心)</w:t>
      </w:r>
      <w:r>
        <w:rPr>
          <w:rFonts w:hint="eastAsia" w:ascii="仿宋_GB2312" w:hAnsi="仿宋_GB2312" w:eastAsia="仿宋_GB2312" w:cs="仿宋_GB2312"/>
          <w:sz w:val="32"/>
          <w:szCs w:val="32"/>
        </w:rPr>
        <w:t>负责人是本股室</w:t>
      </w:r>
      <w:r>
        <w:rPr>
          <w:rFonts w:hint="eastAsia" w:ascii="仿宋_GB2312" w:hAnsi="仿宋_GB2312" w:eastAsia="仿宋_GB2312" w:cs="仿宋_GB2312"/>
          <w:sz w:val="32"/>
          <w:szCs w:val="32"/>
          <w:lang w:val="en-US" w:eastAsia="zh-CN"/>
        </w:rPr>
        <w:t>(中心)</w:t>
      </w:r>
      <w:r>
        <w:rPr>
          <w:rFonts w:hint="eastAsia" w:ascii="仿宋_GB2312" w:hAnsi="仿宋_GB2312" w:eastAsia="仿宋_GB2312" w:cs="仿宋_GB2312"/>
          <w:sz w:val="32"/>
          <w:szCs w:val="32"/>
        </w:rPr>
        <w:t>固定资产管理的第一责任人。固定资产外借必须经股室分管领导批准，未经批准不得随意转借。</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3．固定资产变更使用管理部门，必须经综合股同意并办理相关手续。</w:t>
      </w:r>
    </w:p>
    <w:p>
      <w:pPr>
        <w:keepNext w:val="0"/>
        <w:keepLines w:val="0"/>
        <w:pageBreakBefore w:val="0"/>
        <w:shd w:val="clear" w:color="auto" w:fill="FFFFFF"/>
        <w:kinsoku/>
        <w:wordWrap/>
        <w:overflowPunct/>
        <w:topLinePunct w:val="0"/>
        <w:autoSpaceDE/>
        <w:autoSpaceDN/>
        <w:bidi w:val="0"/>
        <w:adjustRightInd/>
        <w:snapToGrid/>
        <w:spacing w:after="0" w:line="560" w:lineRule="exact"/>
        <w:ind w:firstLine="640"/>
        <w:jc w:val="both"/>
        <w:textAlignment w:val="auto"/>
        <w:rPr>
          <w:rFonts w:ascii="华文楷体" w:hAnsi="华文楷体" w:eastAsia="华文楷体" w:cs="华文楷体"/>
          <w:sz w:val="24"/>
          <w:szCs w:val="24"/>
        </w:rPr>
      </w:pPr>
      <w:r>
        <w:rPr>
          <w:rFonts w:hint="eastAsia" w:ascii="华文楷体" w:hAnsi="华文楷体" w:eastAsia="华文楷体" w:cs="华文楷体"/>
          <w:sz w:val="32"/>
          <w:szCs w:val="32"/>
        </w:rPr>
        <w:t>（三）固定资产处置</w:t>
      </w:r>
    </w:p>
    <w:p>
      <w:pPr>
        <w:keepNext w:val="0"/>
        <w:keepLines w:val="0"/>
        <w:pageBreakBefore w:val="0"/>
        <w:shd w:val="clear" w:color="auto" w:fill="FFFFFF"/>
        <w:kinsoku/>
        <w:wordWrap/>
        <w:overflowPunct/>
        <w:topLinePunct w:val="0"/>
        <w:autoSpaceDE/>
        <w:autoSpaceDN/>
        <w:bidi w:val="0"/>
        <w:adjustRightInd/>
        <w:snapToGrid/>
        <w:spacing w:after="0" w:line="560" w:lineRule="exact"/>
        <w:ind w:firstLine="640"/>
        <w:jc w:val="both"/>
        <w:textAlignment w:val="auto"/>
        <w:rPr>
          <w:rFonts w:ascii="Helvetica" w:hAnsi="Helvetica" w:eastAsia="宋体" w:cs="Helvetica"/>
          <w:sz w:val="24"/>
          <w:szCs w:val="24"/>
        </w:rPr>
      </w:pPr>
      <w:r>
        <w:rPr>
          <w:rFonts w:hint="eastAsia" w:ascii="仿宋_GB2312" w:hAnsi="仿宋_GB2312" w:eastAsia="仿宋_GB2312" w:cs="仿宋_GB2312"/>
          <w:sz w:val="32"/>
          <w:szCs w:val="32"/>
        </w:rPr>
        <w:t>固定资产的减少变动（调出、变卖、盘亏、报废、丢失、损坏）都必须按规定履行报批手续，由综合股统一进行处理，所得资金交</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财务入账，履行国有资产报批程序和手续，上报财政审批、备案。 　　</w:t>
      </w:r>
      <w:r>
        <w:rPr>
          <w:rFonts w:hint="eastAsia" w:ascii="仿宋" w:hAnsi="仿宋" w:eastAsia="仿宋" w:cs="Helvetica"/>
          <w:sz w:val="32"/>
          <w:szCs w:val="32"/>
        </w:rPr>
        <w:t>　　　　　　　　　　　</w:t>
      </w:r>
    </w:p>
    <w:p>
      <w:pPr>
        <w:keepNext w:val="0"/>
        <w:keepLines w:val="0"/>
        <w:pageBreakBefore w:val="0"/>
        <w:shd w:val="clear" w:color="auto" w:fill="FFFFFF"/>
        <w:kinsoku/>
        <w:wordWrap/>
        <w:overflowPunct/>
        <w:topLinePunct w:val="0"/>
        <w:autoSpaceDE/>
        <w:autoSpaceDN/>
        <w:bidi w:val="0"/>
        <w:adjustRightInd/>
        <w:snapToGrid/>
        <w:spacing w:after="0" w:line="560" w:lineRule="exact"/>
        <w:ind w:firstLine="640"/>
        <w:jc w:val="both"/>
        <w:textAlignment w:val="auto"/>
        <w:rPr>
          <w:rFonts w:ascii="华文楷体" w:hAnsi="华文楷体" w:eastAsia="华文楷体" w:cs="华文楷体"/>
          <w:sz w:val="32"/>
          <w:szCs w:val="32"/>
        </w:rPr>
      </w:pPr>
      <w:r>
        <w:rPr>
          <w:rFonts w:hint="eastAsia" w:ascii="华文楷体" w:hAnsi="华文楷体" w:eastAsia="华文楷体" w:cs="华文楷体"/>
          <w:sz w:val="32"/>
          <w:szCs w:val="32"/>
        </w:rPr>
        <w:t>（四）固定资产的清查</w:t>
      </w:r>
    </w:p>
    <w:p>
      <w:pPr>
        <w:keepNext w:val="0"/>
        <w:keepLines w:val="0"/>
        <w:pageBreakBefore w:val="0"/>
        <w:shd w:val="clear" w:color="auto" w:fill="FFFFFF"/>
        <w:kinsoku/>
        <w:wordWrap/>
        <w:overflowPunct/>
        <w:topLinePunct w:val="0"/>
        <w:autoSpaceDE/>
        <w:autoSpaceDN/>
        <w:bidi w:val="0"/>
        <w:adjustRightInd/>
        <w:snapToGrid/>
        <w:spacing w:after="0" w:line="560" w:lineRule="exact"/>
        <w:ind w:firstLine="640"/>
        <w:jc w:val="both"/>
        <w:textAlignment w:val="auto"/>
        <w:rPr>
          <w:rFonts w:ascii="Helvetica" w:hAnsi="Helvetica" w:eastAsia="宋体" w:cs="Helvetica"/>
          <w:sz w:val="24"/>
          <w:szCs w:val="24"/>
        </w:rPr>
      </w:pPr>
      <w:r>
        <w:rPr>
          <w:rFonts w:hint="eastAsia" w:ascii="仿宋_GB2312" w:hAnsi="仿宋_GB2312" w:eastAsia="仿宋_GB2312" w:cs="仿宋_GB2312"/>
          <w:sz w:val="32"/>
          <w:szCs w:val="32"/>
        </w:rPr>
        <w:t>　坚持固定资产定期清理、清查制度，使用的固定资产应每年自查一次，每两年全面清查一次，做到账物相符。</w:t>
      </w:r>
      <w:r>
        <w:rPr>
          <w:rFonts w:hint="eastAsia" w:ascii="仿宋" w:hAnsi="仿宋" w:eastAsia="仿宋" w:cs="Helvetica"/>
          <w:sz w:val="32"/>
          <w:szCs w:val="32"/>
        </w:rPr>
        <w:t xml:space="preserve"> </w:t>
      </w:r>
    </w:p>
    <w:p>
      <w:pPr>
        <w:keepNext w:val="0"/>
        <w:keepLines w:val="0"/>
        <w:pageBreakBefore w:val="0"/>
        <w:shd w:val="clear" w:color="auto" w:fill="FFFFFF"/>
        <w:kinsoku/>
        <w:wordWrap/>
        <w:overflowPunct/>
        <w:topLinePunct w:val="0"/>
        <w:autoSpaceDE/>
        <w:autoSpaceDN/>
        <w:bidi w:val="0"/>
        <w:adjustRightInd/>
        <w:snapToGrid/>
        <w:spacing w:after="0" w:line="560" w:lineRule="exact"/>
        <w:ind w:firstLine="640"/>
        <w:jc w:val="both"/>
        <w:textAlignment w:val="auto"/>
        <w:rPr>
          <w:rFonts w:ascii="Helvetica" w:hAnsi="Helvetica" w:eastAsia="宋体" w:cs="Helvetica"/>
          <w:sz w:val="24"/>
          <w:szCs w:val="24"/>
        </w:rPr>
      </w:pPr>
      <w:r>
        <w:rPr>
          <w:rFonts w:hint="eastAsia" w:ascii="黑体" w:hAnsi="黑体" w:eastAsia="黑体" w:cs="Helvetica"/>
          <w:sz w:val="32"/>
          <w:szCs w:val="32"/>
          <w:shd w:val="clear" w:color="auto" w:fill="FFFFFF"/>
        </w:rPr>
        <w:t>五、单位整体支出绩效情况</w:t>
      </w:r>
      <w:r>
        <w:rPr>
          <w:rFonts w:hint="eastAsia" w:ascii="黑体" w:hAnsi="黑体" w:eastAsia="黑体" w:cs="Helvetica"/>
          <w:sz w:val="32"/>
          <w:szCs w:val="32"/>
        </w:rPr>
        <w:t xml:space="preserve"> </w:t>
      </w:r>
    </w:p>
    <w:p>
      <w:pPr>
        <w:keepNext w:val="0"/>
        <w:keepLines w:val="0"/>
        <w:pageBreakBefore w:val="0"/>
        <w:shd w:val="clear" w:color="auto" w:fill="FFFFFF"/>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年部门支出在满足</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lang w:val="en-US" w:eastAsia="zh-CN"/>
        </w:rPr>
        <w:t>日常运行</w:t>
      </w:r>
      <w:r>
        <w:rPr>
          <w:rFonts w:hint="eastAsia" w:ascii="仿宋_GB2312" w:hAnsi="仿宋_GB2312" w:eastAsia="仿宋_GB2312" w:cs="仿宋_GB2312"/>
          <w:sz w:val="32"/>
          <w:szCs w:val="32"/>
        </w:rPr>
        <w:t xml:space="preserve">，确保各项计划和任务的完成。 </w:t>
      </w:r>
    </w:p>
    <w:p>
      <w:pPr>
        <w:keepNext w:val="0"/>
        <w:keepLines w:val="0"/>
        <w:pageBreakBefore w:val="0"/>
        <w:shd w:val="clear" w:color="auto" w:fill="FFFFFF"/>
        <w:kinsoku/>
        <w:wordWrap/>
        <w:overflowPunct/>
        <w:topLinePunct w:val="0"/>
        <w:autoSpaceDE/>
        <w:autoSpaceDN/>
        <w:bidi w:val="0"/>
        <w:adjustRightInd/>
        <w:snapToGrid/>
        <w:spacing w:after="0" w:line="560" w:lineRule="exact"/>
        <w:ind w:firstLine="640"/>
        <w:jc w:val="both"/>
        <w:textAlignment w:val="auto"/>
        <w:rPr>
          <w:rFonts w:ascii="华文楷体" w:hAnsi="华文楷体" w:eastAsia="华文楷体" w:cs="华文楷体"/>
          <w:sz w:val="24"/>
          <w:szCs w:val="24"/>
        </w:rPr>
      </w:pPr>
      <w:r>
        <w:rPr>
          <w:rFonts w:hint="eastAsia" w:ascii="华文楷体" w:hAnsi="华文楷体" w:eastAsia="华文楷体" w:cs="华文楷体"/>
          <w:sz w:val="32"/>
          <w:szCs w:val="32"/>
        </w:rPr>
        <w:t>（一）经济性方面</w:t>
      </w:r>
    </w:p>
    <w:p>
      <w:pPr>
        <w:keepNext w:val="0"/>
        <w:keepLines w:val="0"/>
        <w:pageBreakBefore w:val="0"/>
        <w:shd w:val="clear" w:color="auto" w:fill="FFFFFF"/>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年按照部门预算进行成本控制，</w:t>
      </w:r>
      <w:r>
        <w:rPr>
          <w:rFonts w:hint="eastAsia" w:ascii="仿宋_GB2312" w:hAnsi="仿宋_GB2312" w:eastAsia="仿宋_GB2312" w:cs="仿宋_GB2312"/>
          <w:sz w:val="32"/>
          <w:szCs w:val="32"/>
          <w:lang w:val="en-US" w:eastAsia="zh-CN"/>
        </w:rPr>
        <w:t>树立政府习惯于“过紧日子”要求，厉行节约，反对浪费，</w:t>
      </w:r>
      <w:r>
        <w:rPr>
          <w:rFonts w:hint="eastAsia" w:ascii="仿宋_GB2312" w:hAnsi="仿宋_GB2312" w:eastAsia="仿宋_GB2312" w:cs="仿宋_GB2312"/>
          <w:sz w:val="32"/>
          <w:szCs w:val="32"/>
        </w:rPr>
        <w:t>单位的日常性工作开支严格按预算执行，其中：公务接待</w:t>
      </w:r>
      <w:r>
        <w:rPr>
          <w:rFonts w:hint="eastAsia" w:ascii="仿宋_GB2312" w:hAnsi="仿宋_GB2312" w:eastAsia="仿宋_GB2312" w:cs="仿宋_GB2312"/>
          <w:sz w:val="32"/>
          <w:szCs w:val="32"/>
          <w:lang w:val="en-US" w:eastAsia="zh-CN"/>
        </w:rPr>
        <w:t>费0万元</w:t>
      </w:r>
      <w:r>
        <w:rPr>
          <w:rFonts w:hint="eastAsia" w:ascii="仿宋_GB2312" w:hAnsi="仿宋_GB2312" w:eastAsia="仿宋_GB2312" w:cs="仿宋_GB2312"/>
          <w:sz w:val="32"/>
          <w:szCs w:val="32"/>
        </w:rPr>
        <w:t>，全部控制在厉行节约指标数内。专项支出按财政部门下达的计划实施，全年没有项目超支。重点确保</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机关工作人员工资等及时足额发放和其他各项工作正常运转。</w:t>
      </w:r>
    </w:p>
    <w:p>
      <w:pPr>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ascii="华文楷体" w:hAnsi="华文楷体" w:eastAsia="华文楷体" w:cs="华文楷体"/>
          <w:sz w:val="24"/>
          <w:szCs w:val="24"/>
        </w:rPr>
      </w:pPr>
      <w:r>
        <w:rPr>
          <w:rFonts w:hint="eastAsia" w:ascii="华文楷体" w:hAnsi="华文楷体" w:eastAsia="华文楷体" w:cs="华文楷体"/>
          <w:sz w:val="32"/>
          <w:szCs w:val="32"/>
        </w:rPr>
        <w:t>（二）效率性方面</w:t>
      </w:r>
    </w:p>
    <w:p>
      <w:pPr>
        <w:keepNext w:val="0"/>
        <w:keepLines w:val="0"/>
        <w:pageBreakBefore w:val="0"/>
        <w:shd w:val="clear" w:color="auto" w:fill="FFFFFF"/>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持续推动数字政务服务提质增效，稳步推进智慧城市建设，推动“高效办成一件事”事项落地见效，进一步</w:t>
      </w:r>
      <w:r>
        <w:rPr>
          <w:rFonts w:hint="eastAsia" w:ascii="仿宋_GB2312" w:hAnsi="仿宋_GB2312" w:eastAsia="仿宋_GB2312" w:cs="仿宋_GB2312"/>
          <w:sz w:val="32"/>
          <w:szCs w:val="32"/>
        </w:rPr>
        <w:t>优化营商政务环境，</w:t>
      </w:r>
      <w:r>
        <w:rPr>
          <w:rFonts w:hint="eastAsia" w:ascii="仿宋_GB2312" w:hAnsi="仿宋_GB2312" w:eastAsia="仿宋_GB2312" w:cs="仿宋_GB2312"/>
          <w:sz w:val="32"/>
          <w:szCs w:val="32"/>
          <w:lang w:val="en-US" w:eastAsia="zh-CN"/>
        </w:rPr>
        <w:t>提高办事企业和</w:t>
      </w:r>
      <w:r>
        <w:rPr>
          <w:rFonts w:hint="eastAsia" w:ascii="仿宋_GB2312" w:hAnsi="仿宋_GB2312" w:eastAsia="仿宋_GB2312" w:cs="仿宋_GB2312"/>
          <w:sz w:val="32"/>
          <w:szCs w:val="32"/>
        </w:rPr>
        <w:t>群众的满意度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获得感。</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华文楷体" w:hAnsi="华文楷体" w:eastAsia="华文楷体" w:cs="华文楷体"/>
          <w:sz w:val="32"/>
          <w:szCs w:val="32"/>
        </w:rPr>
        <w:t>（三）有效性方面</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部门支出的有效性主要体现在局机关工作成效上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政企协同、数字赋能，构建企业闭环快办新机制》入选2025年省“高效办成一件事”揭榜竞优典型经验案例；数智赋能，“沅”来好办荣获2025年益阳市直机关提高机关党的建设质量优秀案例；优化营商环境政务服务省评指标连续四年（2022—2025年）进入省优秀行列。</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聚焦集成改革，推动“高效办成一件事”落地见效。县市区需承接办件的35项“高效办成一件事”实现办件全覆盖，6项“一件事”在益阳市产生首例办件，累计办件24485件。《沅江市“申请公租房一件事”服务下沉助力基层》在《湖南数据与政务专刊》2025年第八期刊发。</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深化数智赋能政务服务。优化升级“湘易办”，改造、新增上线高频服务事项15项，创新部署智能问答机器人，为公积金查询、灵活就业参保等业务提供全天候自</w:t>
      </w:r>
      <w:r>
        <w:rPr>
          <w:rFonts w:hint="eastAsia" w:ascii="仿宋_GB2312" w:hAnsi="仿宋_GB2312" w:eastAsia="仿宋_GB2312" w:cs="仿宋_GB2312"/>
          <w:sz w:val="32"/>
          <w:szCs w:val="32"/>
        </w:rPr>
        <w:t>然语言交互咨询服务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rPr>
        <w:t>智能终端服务创新</w:t>
      </w:r>
      <w:r>
        <w:rPr>
          <w:rFonts w:hint="eastAsia" w:ascii="仿宋_GB2312" w:hAnsi="仿宋_GB2312" w:eastAsia="仿宋_GB2312" w:cs="仿宋_GB2312"/>
          <w:sz w:val="32"/>
          <w:szCs w:val="32"/>
          <w:lang w:val="en-US" w:eastAsia="zh-CN"/>
        </w:rPr>
        <w:t>应用</w:t>
      </w:r>
      <w:r>
        <w:rPr>
          <w:rFonts w:hint="eastAsia" w:ascii="仿宋_GB2312" w:hAnsi="仿宋_GB2312" w:eastAsia="仿宋_GB2312" w:cs="仿宋_GB2312"/>
          <w:sz w:val="32"/>
          <w:szCs w:val="32"/>
        </w:rPr>
        <w:t>。自主</w:t>
      </w:r>
      <w:r>
        <w:rPr>
          <w:rFonts w:hint="eastAsia" w:ascii="仿宋_GB2312" w:hAnsi="仿宋_GB2312" w:eastAsia="仿宋_GB2312" w:cs="仿宋_GB2312"/>
          <w:sz w:val="32"/>
          <w:szCs w:val="32"/>
          <w:lang w:val="en-US" w:eastAsia="zh-CN"/>
        </w:rPr>
        <w:t>开</w:t>
      </w:r>
      <w:r>
        <w:rPr>
          <w:rFonts w:hint="eastAsia" w:ascii="仿宋_GB2312" w:hAnsi="仿宋_GB2312" w:eastAsia="仿宋_GB2312" w:cs="仿宋_GB2312"/>
          <w:sz w:val="32"/>
          <w:szCs w:val="32"/>
        </w:rPr>
        <w:t>发的政务服务一体化智能终端，集成身份核验、</w:t>
      </w:r>
      <w:r>
        <w:rPr>
          <w:rFonts w:hint="eastAsia" w:ascii="仿宋_GB2312" w:hAnsi="仿宋_GB2312" w:eastAsia="仿宋_GB2312" w:cs="仿宋_GB2312"/>
          <w:sz w:val="32"/>
          <w:szCs w:val="32"/>
          <w:lang w:val="en-US" w:eastAsia="zh-CN"/>
        </w:rPr>
        <w:t>证件</w:t>
      </w:r>
      <w:r>
        <w:rPr>
          <w:rFonts w:hint="eastAsia" w:ascii="仿宋_GB2312" w:hAnsi="仿宋_GB2312" w:eastAsia="仿宋_GB2312" w:cs="仿宋_GB2312"/>
          <w:sz w:val="32"/>
          <w:szCs w:val="32"/>
        </w:rPr>
        <w:t>复印、事项办理、缴费查询等十</w:t>
      </w:r>
      <w:r>
        <w:rPr>
          <w:rFonts w:hint="eastAsia" w:ascii="仿宋_GB2312" w:hAnsi="仿宋_GB2312" w:eastAsia="仿宋_GB2312" w:cs="仿宋_GB2312"/>
          <w:sz w:val="32"/>
          <w:szCs w:val="32"/>
          <w:lang w:val="en-US" w:eastAsia="zh-CN"/>
        </w:rPr>
        <w:t>余项</w:t>
      </w:r>
      <w:r>
        <w:rPr>
          <w:rFonts w:hint="eastAsia" w:ascii="仿宋_GB2312" w:hAnsi="仿宋_GB2312" w:eastAsia="仿宋_GB2312" w:cs="仿宋_GB2312"/>
          <w:sz w:val="32"/>
          <w:szCs w:val="32"/>
        </w:rPr>
        <w:t>功能模块，已成功对接公积金、医保、民政等领域</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余项高频数据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将便捷的“一站式”自助服务延伸至群众“家门口”。</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lang w:val="en-US" w:eastAsia="zh-CN"/>
        </w:rPr>
        <w:t>智慧城市建设持续优化升级。城市指挥中心可召开至镇街道视频调度会议，并已接入湖南水文云会商平台，可为市委、市政府主要领导在防汛抗灾期间提供可视化的实时指挥需求支撑。共汇聚107项1900余万条数据资源，初步搭建5大基础数据库和6类专题库，初步具备为各行业开展相关应用场景建设提供数据资源服务的能力。落实</w:t>
      </w:r>
      <w:r>
        <w:rPr>
          <w:rFonts w:hint="default" w:ascii="仿宋_GB2312" w:hAnsi="仿宋_GB2312" w:eastAsia="仿宋_GB2312" w:cs="仿宋_GB2312"/>
          <w:sz w:val="32"/>
          <w:szCs w:val="32"/>
          <w:lang w:val="en-US" w:eastAsia="zh-CN"/>
        </w:rPr>
        <w:t>《沅江市政府投资政务信息化项目管理办法</w:t>
      </w:r>
      <w:r>
        <w:rPr>
          <w:rFonts w:hint="eastAsia" w:ascii="仿宋_GB2312" w:hAnsi="仿宋_GB2312" w:eastAsia="仿宋_GB2312" w:cs="仿宋_GB2312"/>
          <w:sz w:val="32"/>
          <w:szCs w:val="32"/>
          <w:lang w:val="en-US" w:eastAsia="zh-CN"/>
        </w:rPr>
        <w:t>》，已为“公租房管理系统”“校园安全平台”提供集约化服务，即将为“医共体”提供应用支撑服务，预估节约资金500余万元，大数据中心平台的承载功能逐步发挥，集约化建设成效初步显现。</w:t>
      </w:r>
    </w:p>
    <w:p>
      <w:pPr>
        <w:keepNext w:val="0"/>
        <w:keepLines w:val="0"/>
        <w:pageBreakBefore w:val="0"/>
        <w:kinsoku/>
        <w:wordWrap/>
        <w:overflowPunct/>
        <w:topLinePunct w:val="0"/>
        <w:autoSpaceDE/>
        <w:autoSpaceDN/>
        <w:bidi w:val="0"/>
        <w:adjustRightInd/>
        <w:snapToGrid/>
        <w:spacing w:after="0" w:line="560" w:lineRule="exact"/>
        <w:ind w:firstLine="640"/>
        <w:jc w:val="both"/>
        <w:textAlignment w:val="auto"/>
        <w:rPr>
          <w:rFonts w:ascii="Helvetica" w:hAnsi="Helvetica" w:eastAsia="宋体" w:cs="Helvetica"/>
          <w:sz w:val="24"/>
          <w:szCs w:val="24"/>
        </w:rPr>
      </w:pPr>
      <w:r>
        <w:rPr>
          <w:rFonts w:hint="eastAsia" w:ascii="黑体" w:hAnsi="黑体" w:eastAsia="黑体" w:cs="Helvetica"/>
          <w:sz w:val="32"/>
          <w:szCs w:val="32"/>
        </w:rPr>
        <w:t>五、存在的主要问题及有关建议</w:t>
      </w:r>
    </w:p>
    <w:p>
      <w:pPr>
        <w:keepNext w:val="0"/>
        <w:keepLines w:val="0"/>
        <w:pageBreakBefore w:val="0"/>
        <w:widowControl w:val="0"/>
        <w:suppressLineNumbers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政务数据共享涉及类别多，部分党政干部数据共享与运用意识不强，个别牵头部门主体责任落实不到位，影响行政审批次序和工作协同难度。同时，数据管理应用方面的人才紧缺，智慧场景创新应用能力不强。下一步，要逐步提升党员干部数据思维与数据意识，持续推进数字政务提质增效，深化数智化场景推广应用，提升政务数据资源协同共享与数据治理能力，加强政府投资政务信息化项目全生命周期管理</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sz w:val="32"/>
          <w:szCs w:val="32"/>
        </w:rPr>
        <w:t>政务</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lang w:val="en-US" w:eastAsia="zh-CN"/>
        </w:rPr>
        <w:t>和数据</w:t>
      </w:r>
      <w:r>
        <w:rPr>
          <w:rFonts w:hint="eastAsia" w:ascii="仿宋_GB2312" w:hAnsi="仿宋_GB2312" w:eastAsia="仿宋_GB2312" w:cs="仿宋_GB2312"/>
          <w:sz w:val="32"/>
          <w:szCs w:val="32"/>
        </w:rPr>
        <w:t>工作要求越来越高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单位无任何创收来源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建议财政预算加大</w:t>
      </w:r>
      <w:r>
        <w:rPr>
          <w:rFonts w:hint="eastAsia" w:ascii="仿宋_GB2312" w:hAnsi="仿宋_GB2312" w:eastAsia="仿宋_GB2312" w:cs="仿宋_GB2312"/>
          <w:sz w:val="32"/>
          <w:szCs w:val="32"/>
          <w:lang w:val="en-US" w:eastAsia="zh-CN"/>
        </w:rPr>
        <w:t>系统软件开发、数智化场景建设等工作</w:t>
      </w:r>
      <w:r>
        <w:rPr>
          <w:rFonts w:hint="eastAsia" w:ascii="仿宋_GB2312" w:hAnsi="仿宋_GB2312" w:eastAsia="仿宋_GB2312" w:cs="仿宋_GB2312"/>
          <w:sz w:val="32"/>
          <w:szCs w:val="32"/>
        </w:rPr>
        <w:t>经费</w:t>
      </w:r>
      <w:r>
        <w:rPr>
          <w:rFonts w:hint="eastAsia" w:ascii="仿宋_GB2312" w:hAnsi="仿宋_GB2312" w:eastAsia="仿宋_GB2312" w:cs="仿宋_GB2312"/>
          <w:sz w:val="32"/>
          <w:szCs w:val="32"/>
          <w:lang w:val="en-US" w:eastAsia="zh-CN"/>
        </w:rPr>
        <w:t>的预算</w:t>
      </w:r>
      <w:r>
        <w:rPr>
          <w:rFonts w:hint="eastAsia" w:ascii="仿宋_GB2312" w:hAnsi="仿宋_GB2312" w:eastAsia="仿宋_GB2312" w:cs="仿宋_GB2312"/>
          <w:sz w:val="32"/>
          <w:szCs w:val="32"/>
        </w:rPr>
        <w:t>安排，弥补单位支出的刚性需</w:t>
      </w:r>
      <w:r>
        <w:rPr>
          <w:rFonts w:hint="eastAsia" w:ascii="仿宋_GB2312" w:hAnsi="仿宋_GB2312" w:eastAsia="仿宋_GB2312" w:cs="仿宋_GB2312"/>
          <w:sz w:val="32"/>
          <w:szCs w:val="32"/>
          <w:lang w:eastAsia="zh-CN"/>
        </w:rPr>
        <w:t>求</w:t>
      </w:r>
      <w:r>
        <w:rPr>
          <w:rFonts w:hint="eastAsia" w:ascii="仿宋_GB2312" w:hAnsi="仿宋_GB2312" w:eastAsia="仿宋_GB2312" w:cs="仿宋_GB2312"/>
          <w:sz w:val="32"/>
          <w:szCs w:val="32"/>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56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六、名词解释：</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560" w:lineRule="exact"/>
        <w:ind w:firstLine="320" w:firstLineChars="1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1．财政拨款收入：指单位本年度从同级财政部门取得的各类财政拨款。</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2．上级补助收入：指事业单位从主管部门和上级单位取得的非财政补助收入。</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5．对附属单位补助支出：指事业单位用财政拨款收入之外的收入对附属单位补助发生的支出。</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6．经营支出：指事业单位在专业业务活动及其辅助活动之外开展非独立核算经营活动发生的支出。</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7．上缴上级支出：指事业单位按照财政部门和主管部门的规定上缴上级单位的支出。</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8．项目支出：指在为完成特定的工作任务和事业发展目标所发生的支出。</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9．基本支出：指为保障机构正常运转、完成日常工作任务而发生的支出，包括人员经费和公用经费。</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10．年末结转和结余资金：指本年度或以前年度预算安排、因客观条件发生变化无法按原计划实施，需要延迟到以后年度按有关规定继续使用的资金。</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11．事业收入：指事业单位开展专业业务活动及其辅助活动取得的收入，事业单位收到的财政专户实际核拨的教育收费等资金在此反映。</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12．经营收入：指事业单位在专业业务活动及其辅助活动之外开展非独立核算经营活动取得的收入。</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13．附属单位上缴收入：指事业单位附属独立核算单位按照有关规定上缴的收入。</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14．其他收入：指单位取得的除上述“财政拨款收入”、“事业收入”、“经营收入”等以外的各项收入。</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15．使用非财政拨款结余：指事业单位使用非财政拨款结余（原事业基金）弥补当年收支差额的数额。</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16．年初结转和结余：指单位上年结转本年使用的基本支出结转、项目支出结转和结余和经营结余。</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17．结余分配：指事业单位按规定对非财政拨款结余资金提取的专用基金、缴纳的所得税和转入非财政拨款结余等。</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18．一般公共服务支出（类）政府办公厅（室）及相关机构事务（款）行政运行（项）：反映行政单位（包括实行公务员管理的事业单位）的基本支出。</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19．一般公共服务支出（类）政府办公厅（室）及相关机构事务（款）一般行政管理事务（项）：反映行政单位（包括实行公务员管理的事业单位）未单独 设置项级科目的其他项目支出。</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20．一般公共服务支出（类）政府办公厅（室）及相关机构事务（款）专项业务及机关事务管理（项）：反映各级政府举行各类重大活动、召开重要会议（如国务院 一类会议、国庆招待会、全国劳模大会）的支出，政府机关房 地产管理、公务用车管理等方面的支出。</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21．一般公共服务支出（类）政府办公厅（室）及相关机构事务（款）政务公开审批（项）：反映各级政府政务公开审批方面的支出。</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22．一般公共服务支出（类）政府办公厅（室）及相关机构事务（款）其他政府办公厅（室）及相关机构事务支出（项）：反映除上述项目以外的其他政府办公厅（室）及相关机构事 务支出。</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23．一般公共服务支出（类）统计信息事务（款）信息事务（项）：反映国家信息中心和地方各级政府信息中心的支出。</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24．科学技术支出（类）其他科学技术支出（款）其他科学技术支出（项）：反映其他科学技术支出中除以上各项外用于科技方面的支出。</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25．住房保障支出（类）住房改革支出（款）住房公积金（项）：反映行政事业单位按人力资源和社会保障部、财政部规定的 基本工资和津贴补贴以及规定比例为职工缴纳的住房公积金。</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26．城乡社区支出（类）国有土地使用权出让收入安排的支出（款）城市建设支出（项）：反映土地出让收入用于完善国有土地使用功能的配套设施建 设和城市基础设施建设支出。</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540" w:lineRule="exact"/>
        <w:ind w:firstLine="640" w:firstLineChars="200"/>
        <w:jc w:val="left"/>
        <w:textAlignment w:val="auto"/>
        <w:rPr>
          <w:rFonts w:hint="default" w:ascii="仿宋_GB2312" w:hAnsi="仿宋_GB2312" w:eastAsia="仿宋_GB2312" w:cs="仿宋_GB2312"/>
          <w:sz w:val="32"/>
          <w:szCs w:val="32"/>
          <w:lang w:val="en-US" w:eastAsia="zh-CN"/>
        </w:rPr>
      </w:pPr>
    </w:p>
    <w:sectPr>
      <w:footerReference r:id="rId3"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Helvetica">
    <w:panose1 w:val="020B0604020202020204"/>
    <w:charset w:val="00"/>
    <w:family w:val="swiss"/>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2NmE4ZTM4NmNkYmRkYzA1NGJjMjRmODZhNDBjNjgifQ=="/>
  </w:docVars>
  <w:rsids>
    <w:rsidRoot w:val="00D31D50"/>
    <w:rsid w:val="0001121C"/>
    <w:rsid w:val="00060701"/>
    <w:rsid w:val="001A3354"/>
    <w:rsid w:val="00323B43"/>
    <w:rsid w:val="003D37D8"/>
    <w:rsid w:val="00426133"/>
    <w:rsid w:val="004358AB"/>
    <w:rsid w:val="00436C6C"/>
    <w:rsid w:val="00472B1E"/>
    <w:rsid w:val="005A1785"/>
    <w:rsid w:val="0069709E"/>
    <w:rsid w:val="008B7726"/>
    <w:rsid w:val="00D14BC0"/>
    <w:rsid w:val="00D31D50"/>
    <w:rsid w:val="00E536A5"/>
    <w:rsid w:val="00F66233"/>
    <w:rsid w:val="00F70BCD"/>
    <w:rsid w:val="027E45B7"/>
    <w:rsid w:val="040C6A6B"/>
    <w:rsid w:val="060D0E01"/>
    <w:rsid w:val="076B3568"/>
    <w:rsid w:val="089A2898"/>
    <w:rsid w:val="08D50C31"/>
    <w:rsid w:val="093760BE"/>
    <w:rsid w:val="0A8455AD"/>
    <w:rsid w:val="0C5B233E"/>
    <w:rsid w:val="12DB5302"/>
    <w:rsid w:val="1A497C7A"/>
    <w:rsid w:val="1E2F2371"/>
    <w:rsid w:val="1F922EFD"/>
    <w:rsid w:val="21444265"/>
    <w:rsid w:val="244B4F6D"/>
    <w:rsid w:val="29E07FA6"/>
    <w:rsid w:val="2B2048D4"/>
    <w:rsid w:val="2C1C4AF7"/>
    <w:rsid w:val="2C523C80"/>
    <w:rsid w:val="2CAC207D"/>
    <w:rsid w:val="2F4E0DAB"/>
    <w:rsid w:val="2F525BF4"/>
    <w:rsid w:val="2FFF434C"/>
    <w:rsid w:val="328F6622"/>
    <w:rsid w:val="33E04C03"/>
    <w:rsid w:val="3545544A"/>
    <w:rsid w:val="366A1F90"/>
    <w:rsid w:val="3A54507C"/>
    <w:rsid w:val="3AD0052B"/>
    <w:rsid w:val="3B46033C"/>
    <w:rsid w:val="3D1551B2"/>
    <w:rsid w:val="3E3A59A8"/>
    <w:rsid w:val="3E422210"/>
    <w:rsid w:val="403756D9"/>
    <w:rsid w:val="41412BA9"/>
    <w:rsid w:val="415154E2"/>
    <w:rsid w:val="4366167F"/>
    <w:rsid w:val="44A47E1B"/>
    <w:rsid w:val="458A3F9D"/>
    <w:rsid w:val="47957DE6"/>
    <w:rsid w:val="48F33B23"/>
    <w:rsid w:val="4C2F1ECB"/>
    <w:rsid w:val="4C3C0B3D"/>
    <w:rsid w:val="4DF344AC"/>
    <w:rsid w:val="4ECA68D4"/>
    <w:rsid w:val="4F207976"/>
    <w:rsid w:val="4F7A7B01"/>
    <w:rsid w:val="501F0345"/>
    <w:rsid w:val="512477F3"/>
    <w:rsid w:val="52E92E9B"/>
    <w:rsid w:val="53334A48"/>
    <w:rsid w:val="54B6755E"/>
    <w:rsid w:val="579D1C05"/>
    <w:rsid w:val="58E862D4"/>
    <w:rsid w:val="5AE378B9"/>
    <w:rsid w:val="5B0E7B48"/>
    <w:rsid w:val="5BB93F58"/>
    <w:rsid w:val="5D6E1CEF"/>
    <w:rsid w:val="5DF95CEB"/>
    <w:rsid w:val="5E411C50"/>
    <w:rsid w:val="5EE72B8A"/>
    <w:rsid w:val="5EE914BF"/>
    <w:rsid w:val="60234340"/>
    <w:rsid w:val="60FB3B76"/>
    <w:rsid w:val="62B163A6"/>
    <w:rsid w:val="63B13049"/>
    <w:rsid w:val="653524C9"/>
    <w:rsid w:val="6CB2505C"/>
    <w:rsid w:val="6D860B78"/>
    <w:rsid w:val="6DB17A8E"/>
    <w:rsid w:val="6F8E12A5"/>
    <w:rsid w:val="70886448"/>
    <w:rsid w:val="71C11019"/>
    <w:rsid w:val="724B0F7C"/>
    <w:rsid w:val="7256331D"/>
    <w:rsid w:val="73A17354"/>
    <w:rsid w:val="75DD60D5"/>
    <w:rsid w:val="76916F59"/>
    <w:rsid w:val="7C645C2C"/>
    <w:rsid w:val="7D013BEF"/>
    <w:rsid w:val="7D3F1E93"/>
    <w:rsid w:val="7F3E57D4"/>
    <w:rsid w:val="7F9135F0"/>
    <w:rsid w:val="7F9D0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eastAsia="仿宋_GB2312"/>
    </w:rPr>
  </w:style>
  <w:style w:type="paragraph" w:styleId="3">
    <w:name w:val="Body Text Indent"/>
    <w:basedOn w:val="1"/>
    <w:qFormat/>
    <w:uiPriority w:val="0"/>
    <w:pPr>
      <w:spacing w:after="120" w:afterLines="0" w:afterAutospacing="0"/>
      <w:ind w:left="420" w:leftChars="200"/>
    </w:pPr>
  </w:style>
  <w:style w:type="paragraph" w:styleId="4">
    <w:name w:val="footer"/>
    <w:basedOn w:val="1"/>
    <w:link w:val="10"/>
    <w:semiHidden/>
    <w:unhideWhenUsed/>
    <w:qFormat/>
    <w:uiPriority w:val="99"/>
    <w:pPr>
      <w:tabs>
        <w:tab w:val="center" w:pos="4153"/>
        <w:tab w:val="right" w:pos="8306"/>
      </w:tabs>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toc 1"/>
    <w:basedOn w:val="1"/>
    <w:next w:val="1"/>
    <w:semiHidden/>
    <w:qFormat/>
    <w:uiPriority w:val="0"/>
  </w:style>
  <w:style w:type="character" w:customStyle="1" w:styleId="9">
    <w:name w:val="页眉 Char"/>
    <w:basedOn w:val="8"/>
    <w:link w:val="5"/>
    <w:semiHidden/>
    <w:qFormat/>
    <w:uiPriority w:val="99"/>
    <w:rPr>
      <w:rFonts w:ascii="Tahoma" w:hAnsi="Tahoma"/>
      <w:sz w:val="18"/>
      <w:szCs w:val="18"/>
    </w:rPr>
  </w:style>
  <w:style w:type="character" w:customStyle="1" w:styleId="10">
    <w:name w:val="页脚 Char"/>
    <w:basedOn w:val="8"/>
    <w:link w:val="4"/>
    <w:semiHidden/>
    <w:qFormat/>
    <w:uiPriority w:val="99"/>
    <w:rPr>
      <w:rFonts w:ascii="Tahoma" w:hAnsi="Tahoma"/>
      <w:sz w:val="18"/>
      <w:szCs w:val="18"/>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4133</Words>
  <Characters>4262</Characters>
  <Lines>17</Lines>
  <Paragraphs>4</Paragraphs>
  <TotalTime>112</TotalTime>
  <ScaleCrop>false</ScaleCrop>
  <LinksUpToDate>false</LinksUpToDate>
  <CharactersWithSpaces>4296</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2023-04-03T02:29:00Z</dcterms:created>
  <dc:creator>admin</dc:creator>
  <cp:lastModifiedBy>Lenovo</cp:lastModifiedBy>
  <cp:lastPrinted>2025-04-23T07:33:00Z</cp:lastPrinted>
  <dcterms:modified xsi:type="dcterms:W3CDTF">2026-04-30T08:33:11Z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40AA163023E4485D94F189A61E75D4AB_13</vt:lpwstr>
  </property>
</Properties>
</file>