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0200D">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附件1</w:t>
      </w:r>
      <w:r>
        <w:rPr>
          <w:rFonts w:hint="default" w:ascii="Times New Roman" w:hAnsi="Times New Roman" w:eastAsia="黑体" w:cs="Times New Roman"/>
          <w:color w:val="auto"/>
          <w:sz w:val="32"/>
          <w:szCs w:val="32"/>
          <w:lang w:val="en-US" w:eastAsia="zh-CN"/>
        </w:rPr>
        <w:t>-1</w:t>
      </w:r>
    </w:p>
    <w:p w14:paraId="05A71188">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黑体" w:cs="Times New Roman"/>
          <w:color w:val="auto"/>
          <w:sz w:val="32"/>
          <w:szCs w:val="32"/>
          <w:lang w:val="en-US" w:eastAsia="zh-CN"/>
        </w:rPr>
      </w:pPr>
    </w:p>
    <w:p w14:paraId="7DD29096">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专精特新中小企业认定标准</w:t>
      </w:r>
    </w:p>
    <w:p w14:paraId="74A00ED1">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sz w:val="32"/>
          <w:szCs w:val="32"/>
        </w:rPr>
      </w:pPr>
    </w:p>
    <w:p w14:paraId="733C14A0">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一、认定条件</w:t>
      </w:r>
    </w:p>
    <w:p w14:paraId="166AD2A4">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同时满足以下四项条件即视为满足认定条件：</w:t>
      </w:r>
    </w:p>
    <w:p w14:paraId="286D4A3C">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（一）从事特定细分市场时间达到2年以上。</w:t>
      </w:r>
    </w:p>
    <w:p w14:paraId="11EFC89C">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（二）上年度研发费用总额不低于100万元，且占营业收入总额比重不低于3%。</w:t>
      </w:r>
    </w:p>
    <w:p w14:paraId="2689BF61">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（三）上年度营业收入总额在1000万元以上，或上年度营业收入总额在1000万元以下，但近2年新增股权融资总额（合格机构投资者的实缴额）达到2000万元以上。</w:t>
      </w:r>
    </w:p>
    <w:p w14:paraId="6F3FC4AA">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（四）评价得分达到60分以上或满足下列条件之一：</w:t>
      </w:r>
    </w:p>
    <w:p w14:paraId="32BD8A2F">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1.近三年获得过省级科技奖励，并在获奖单位中排名前</w:t>
      </w:r>
    </w:p>
    <w:p w14:paraId="19C04F08">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三；或获得国家级科技奖励，并在获奖单位中排名前五。</w:t>
      </w:r>
    </w:p>
    <w:p w14:paraId="2DAF369C">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2.近两年研发费用总额均值在1000万元以上。</w:t>
      </w:r>
    </w:p>
    <w:p w14:paraId="73109BB2">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3.近两年新增股权融资总额（合格机构投资者的实缴额）6000万元以上。</w:t>
      </w:r>
    </w:p>
    <w:p w14:paraId="671EB736">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4.近三年进入“创客中国”中小企业创新创业大赛全国500强企业组名单。</w:t>
      </w:r>
    </w:p>
    <w:p w14:paraId="562A3E78">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二、评价指标</w:t>
      </w:r>
    </w:p>
    <w:p w14:paraId="2A6E209B">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包括专业化、精细化、特色化和创新能力四类十三个指标，评价结果依分值计算，满分为100分。</w:t>
      </w:r>
    </w:p>
    <w:p w14:paraId="55A574F4">
      <w:pPr>
        <w:keepNext w:val="0"/>
        <w:keepLines w:val="0"/>
        <w:pageBreakBefore w:val="0"/>
        <w:widowControl w:val="0"/>
        <w:kinsoku/>
        <w:wordWrap/>
        <w:overflowPunct/>
        <w:topLinePunct w:val="0"/>
        <w:autoSpaceDE/>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（一）专业化指标（满分25分）</w:t>
      </w:r>
    </w:p>
    <w:p w14:paraId="34964642">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1.上年度主营业务收入总额占营业收入总额比重（满分5分）</w:t>
      </w:r>
    </w:p>
    <w:p w14:paraId="14BE4DD9">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A.80%以上（5分）</w:t>
      </w:r>
    </w:p>
    <w:p w14:paraId="55663B5E">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B.70%-80%（3分）</w:t>
      </w:r>
    </w:p>
    <w:p w14:paraId="488DA310">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C.60%-70%（1分）</w:t>
      </w:r>
    </w:p>
    <w:p w14:paraId="1613F419">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D.60%以下（0分）</w:t>
      </w:r>
    </w:p>
    <w:p w14:paraId="4698956E">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2.近2年主营业务收入平均增长率（满分10分）</w:t>
      </w:r>
    </w:p>
    <w:p w14:paraId="3246AAA5">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A.10%以上（10分）</w:t>
      </w:r>
    </w:p>
    <w:p w14:paraId="7DCF7A13">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B.8%-10%（8分）</w:t>
      </w:r>
    </w:p>
    <w:p w14:paraId="4D6490D7">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C.6%-8%（6分）</w:t>
      </w:r>
    </w:p>
    <w:p w14:paraId="50C3A497">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D.4%-6%（4分）</w:t>
      </w:r>
    </w:p>
    <w:p w14:paraId="029CAB2F">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E.0%-4%（2分）</w:t>
      </w:r>
    </w:p>
    <w:p w14:paraId="6EDDA63D">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F.0%以下（0分）</w:t>
      </w:r>
    </w:p>
    <w:p w14:paraId="12FC2578">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3.从事特定细分市场年限（满分5分）</w:t>
      </w:r>
    </w:p>
    <w:p w14:paraId="33DFDAD8">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每满2年得1分，最高不超过5分。</w:t>
      </w:r>
    </w:p>
    <w:p w14:paraId="1E595371">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4.主导产品所属领域情况（满分5分）</w:t>
      </w:r>
    </w:p>
    <w:p w14:paraId="06CE849A">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A.在产业链供应链关键环节及关键领域“补短板”“锻长板”“填空白”取得实际成效（5分）</w:t>
      </w:r>
    </w:p>
    <w:p w14:paraId="2F20AFB3">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B.属于工业“六基”领域、中华老字号名录或企业主导产品服务关键产业链重点龙头企业（3分）</w:t>
      </w:r>
    </w:p>
    <w:p w14:paraId="0BF7F0E5">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C.不属于以上情况（0分）</w:t>
      </w:r>
    </w:p>
    <w:p w14:paraId="0CCF8DDB">
      <w:pPr>
        <w:keepNext w:val="0"/>
        <w:keepLines w:val="0"/>
        <w:pageBreakBefore w:val="0"/>
        <w:widowControl w:val="0"/>
        <w:kinsoku/>
        <w:wordWrap/>
        <w:overflowPunct/>
        <w:topLinePunct w:val="0"/>
        <w:autoSpaceDE/>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（二）精细化指标（满分25分）</w:t>
      </w:r>
    </w:p>
    <w:p w14:paraId="6C77FB0B">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5.数字化水平（满分5分）</w:t>
      </w:r>
    </w:p>
    <w:p w14:paraId="20DF4916">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A.三级以上（5分）</w:t>
      </w:r>
    </w:p>
    <w:p w14:paraId="56C9C71E">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B.二级（3分）</w:t>
      </w:r>
    </w:p>
    <w:p w14:paraId="496530BB">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C.一级（0分）</w:t>
      </w:r>
    </w:p>
    <w:p w14:paraId="2037E202">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6.质量管理水平（每满足一项加3分，最高不超过5分）</w:t>
      </w:r>
    </w:p>
    <w:p w14:paraId="6AC5E4BF">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A.获得省级以上质量奖荣誉</w:t>
      </w:r>
    </w:p>
    <w:p w14:paraId="15C5F299">
      <w:pPr>
        <w:keepNext w:val="0"/>
        <w:keepLines w:val="0"/>
        <w:pageBreakBefore w:val="0"/>
        <w:widowControl w:val="0"/>
        <w:kinsoku/>
        <w:wordWrap/>
        <w:overflowPunct/>
        <w:topLinePunct w:val="0"/>
        <w:autoSpaceDE/>
        <w:bidi w:val="0"/>
        <w:adjustRightInd/>
        <w:snapToGrid/>
        <w:spacing w:line="600" w:lineRule="exact"/>
        <w:ind w:firstLine="616"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B.建立质量管理体系，获得ISO9001等质量管理体系认证证书</w:t>
      </w:r>
    </w:p>
    <w:p w14:paraId="580AA4DA">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C.拥有自主品牌</w:t>
      </w:r>
    </w:p>
    <w:p w14:paraId="7DA4883B">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D.参与制修订标准</w:t>
      </w:r>
    </w:p>
    <w:p w14:paraId="51400989">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7.上年度净利润率（满分10分）</w:t>
      </w:r>
    </w:p>
    <w:p w14:paraId="054CB55E">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A.10%以上（10分）</w:t>
      </w:r>
    </w:p>
    <w:p w14:paraId="2C4C0467">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B.8%-10%（8分）</w:t>
      </w:r>
    </w:p>
    <w:p w14:paraId="5962DA81">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C.6%-8%（6分）</w:t>
      </w:r>
    </w:p>
    <w:p w14:paraId="6C0ECA7F">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D.4%-6%（4分）</w:t>
      </w:r>
    </w:p>
    <w:p w14:paraId="2158084C">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E.2%-4%（2分）</w:t>
      </w:r>
    </w:p>
    <w:p w14:paraId="739AF769">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F.2%以下（0分）</w:t>
      </w:r>
    </w:p>
    <w:p w14:paraId="793586D3">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8.上年度资产负债率（满分5分）</w:t>
      </w:r>
    </w:p>
    <w:p w14:paraId="632A682C">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A.50%以下（5分）</w:t>
      </w:r>
    </w:p>
    <w:p w14:paraId="64843937">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B.50%-60%（3分）</w:t>
      </w:r>
    </w:p>
    <w:p w14:paraId="42E87A57">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C.60%-70%（1分）</w:t>
      </w:r>
    </w:p>
    <w:p w14:paraId="2C97D3FA">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D.70%以上（0分）</w:t>
      </w:r>
    </w:p>
    <w:p w14:paraId="6ACD180E">
      <w:pPr>
        <w:keepNext w:val="0"/>
        <w:keepLines w:val="0"/>
        <w:pageBreakBefore w:val="0"/>
        <w:widowControl w:val="0"/>
        <w:kinsoku/>
        <w:wordWrap/>
        <w:overflowPunct/>
        <w:topLinePunct w:val="0"/>
        <w:autoSpaceDE/>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（三）特色化指标（满分15分）</w:t>
      </w:r>
    </w:p>
    <w:p w14:paraId="64B60CCF">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9.地方特色指标</w:t>
      </w:r>
    </w:p>
    <w:p w14:paraId="7A06383F">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（1）主导产品在全国细分市场占有率（满分10分）</w:t>
      </w:r>
    </w:p>
    <w:p w14:paraId="2709A370">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A.10%以上（10分）</w:t>
      </w:r>
    </w:p>
    <w:p w14:paraId="513F0327">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B.8%-10%（8分）</w:t>
      </w:r>
    </w:p>
    <w:p w14:paraId="7F4A005A">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C.6%-8%（6分）</w:t>
      </w:r>
    </w:p>
    <w:p w14:paraId="465940EB">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D.4%-6%（4分）</w:t>
      </w:r>
    </w:p>
    <w:p w14:paraId="1A3E9540">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E.2%-4%（2分）</w:t>
      </w:r>
    </w:p>
    <w:p w14:paraId="2ECE1A0C">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F.2%以下（0分）</w:t>
      </w:r>
    </w:p>
    <w:p w14:paraId="05D8BB78">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（2）属于标杆示范企业（满分5分，每满足一项加2分，最高不超过5分）</w:t>
      </w:r>
    </w:p>
    <w:p w14:paraId="1398AE29">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A.湖南省“上云上平台”示范企业、湖南省制造业数字化转型“三化”重点项目</w:t>
      </w:r>
    </w:p>
    <w:p w14:paraId="47209F4A">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B.湖南省制造业质量标杆、湖南省制造业品牌培育示范企业、“湖湘精品”中小企业品牌能力提升标杆企业</w:t>
      </w:r>
    </w:p>
    <w:p w14:paraId="5A7312FF">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C.湖南省绿色工厂、绿色设计产品、绿色供应链管理企业</w:t>
      </w:r>
    </w:p>
    <w:p w14:paraId="262CB879">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D.首台（套）重大技术装备、重点新材料产品首批次应用示范、首版次软件</w:t>
      </w:r>
    </w:p>
    <w:p w14:paraId="3B169262">
      <w:pPr>
        <w:keepNext w:val="0"/>
        <w:keepLines w:val="0"/>
        <w:pageBreakBefore w:val="0"/>
        <w:widowControl w:val="0"/>
        <w:kinsoku/>
        <w:wordWrap/>
        <w:overflowPunct/>
        <w:topLinePunct w:val="0"/>
        <w:autoSpaceDE/>
        <w:bidi w:val="0"/>
        <w:adjustRightInd/>
        <w:snapToGrid/>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（四）创新能力指标（满分35分）</w:t>
      </w:r>
    </w:p>
    <w:p w14:paraId="64969C4C">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10.与企业主导产品相关的有效知识产权数量（满分10分）</w:t>
      </w:r>
    </w:p>
    <w:p w14:paraId="7D864002">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A.Ⅰ类高价值知识产权1项以上（10分）</w:t>
      </w:r>
    </w:p>
    <w:p w14:paraId="1BD5EB94">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B.自主研发Ⅰ类知识产权1项以上（8分）</w:t>
      </w:r>
    </w:p>
    <w:p w14:paraId="4F5A8853">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C.Ⅰ类知识产权1项以上（6分）</w:t>
      </w:r>
    </w:p>
    <w:p w14:paraId="3D0392C7">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D.Ⅱ类知识产权1项以上（2分）</w:t>
      </w:r>
    </w:p>
    <w:p w14:paraId="00865F78">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E.无（0分）</w:t>
      </w:r>
    </w:p>
    <w:p w14:paraId="7DF0382F">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11.上年度研发费用投入（满分10分）</w:t>
      </w:r>
    </w:p>
    <w:p w14:paraId="4BAF7EB6">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A.研发费用总额500万元以上或研发费用总额占营业收入总额比重在10%以上（10分）</w:t>
      </w:r>
    </w:p>
    <w:p w14:paraId="1D0AF299">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B.研发费用总额400-500万元或研发费用总额占营业收入总额比重在8%-10%（8分）</w:t>
      </w:r>
    </w:p>
    <w:p w14:paraId="144C4D3B">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C.研发费用总额300-400万元或研发费用总额占营业收入总额比重在6%-8%（6分）</w:t>
      </w:r>
    </w:p>
    <w:p w14:paraId="6B96F85D">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D.研发费用总额200-300万元或研发费用总额占营业收入总额比重在4%-6%（4分）</w:t>
      </w:r>
    </w:p>
    <w:p w14:paraId="77A9D79D">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E.研发费用总额100-200万元或研发费用总额占营业收入总额比重在3%-4%（2分）</w:t>
      </w:r>
    </w:p>
    <w:p w14:paraId="751F7DC8">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F.不属于以上情况（0分）</w:t>
      </w:r>
    </w:p>
    <w:p w14:paraId="0C4AF0B5">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12.上年度研发人员占比（满分5分）</w:t>
      </w:r>
    </w:p>
    <w:p w14:paraId="4DCEB8F9">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A.20%以上（5分）</w:t>
      </w:r>
    </w:p>
    <w:p w14:paraId="56108F3F">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B.10%-20%（3分）</w:t>
      </w:r>
    </w:p>
    <w:p w14:paraId="26EA8DF4">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C.5%-10%（1分）</w:t>
      </w:r>
    </w:p>
    <w:p w14:paraId="4EE35214">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D.5%以下（0分）</w:t>
      </w:r>
    </w:p>
    <w:p w14:paraId="6A6BAA47">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13.建立研发机构级别（满分10分）</w:t>
      </w:r>
    </w:p>
    <w:p w14:paraId="77D80F38">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A.国家级（10分）</w:t>
      </w:r>
    </w:p>
    <w:p w14:paraId="2272E666">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B.省级（8分）</w:t>
      </w:r>
    </w:p>
    <w:p w14:paraId="1F658640">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C.市级（4分）</w:t>
      </w:r>
    </w:p>
    <w:p w14:paraId="6019775B">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D.市级以下（2分）</w:t>
      </w:r>
    </w:p>
    <w:p w14:paraId="7ECAB161">
      <w:pPr>
        <w:keepNext w:val="0"/>
        <w:keepLines w:val="0"/>
        <w:pageBreakBefore w:val="0"/>
        <w:widowControl w:val="0"/>
        <w:kinsoku/>
        <w:wordWrap/>
        <w:overflowPunct/>
        <w:topLinePunct w:val="0"/>
        <w:autoSpaceDE/>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E.未建立研发机构（0分）</w:t>
      </w:r>
    </w:p>
    <w:p w14:paraId="4702ADB7">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rPr>
      </w:pPr>
    </w:p>
    <w:p w14:paraId="4A4AFCA3">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br w:type="page"/>
      </w: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2</w:t>
      </w:r>
    </w:p>
    <w:p w14:paraId="739880A4">
      <w:pPr>
        <w:keepNext w:val="0"/>
        <w:keepLines w:val="0"/>
        <w:pageBreakBefore w:val="0"/>
        <w:widowControl/>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kern w:val="0"/>
          <w:sz w:val="32"/>
          <w:szCs w:val="32"/>
        </w:rPr>
      </w:pPr>
    </w:p>
    <w:p w14:paraId="5F8B9149">
      <w:pPr>
        <w:keepNext w:val="0"/>
        <w:keepLines w:val="0"/>
        <w:pageBreakBefore w:val="0"/>
        <w:widowControl/>
        <w:kinsoku/>
        <w:wordWrap/>
        <w:overflowPunct/>
        <w:topLinePunct w:val="0"/>
        <w:autoSpaceDE/>
        <w:bidi w:val="0"/>
        <w:adjustRightInd/>
        <w:snapToGrid/>
        <w:spacing w:line="600" w:lineRule="exact"/>
        <w:ind w:firstLine="0" w:firstLineChars="0"/>
        <w:jc w:val="cente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部分指标和要求说明</w:t>
      </w:r>
    </w:p>
    <w:p w14:paraId="06C6009F">
      <w:pPr>
        <w:keepNext w:val="0"/>
        <w:keepLines w:val="0"/>
        <w:pageBreakBefore w:val="0"/>
        <w:widowControl/>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b/>
          <w:bCs/>
          <w:color w:val="auto"/>
          <w:sz w:val="44"/>
          <w:szCs w:val="44"/>
        </w:rPr>
      </w:pPr>
    </w:p>
    <w:p w14:paraId="2ACA0D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指标中如对期限无特殊说明，一般使用企业近1年的年度数据，具体定义为：指企业上一完整会计年度，以企业上一年度审计报告期末数为准。对于存在子公司或母公司的企业，按财政部印发的《企业会计准则》有关规定执行。</w:t>
      </w:r>
    </w:p>
    <w:p w14:paraId="4E2905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（二）所称拥有自主品牌是指主营业务产品或服务具有自主知识产权，且符合下列条件之一：</w:t>
      </w:r>
    </w:p>
    <w:p w14:paraId="30E54D2D">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6"/>
          <w:sz w:val="32"/>
          <w:szCs w:val="32"/>
        </w:rPr>
        <w:t>1.产品或服务品牌已经国家知识产权局商标局正式注册。</w:t>
      </w:r>
    </w:p>
    <w:p w14:paraId="3749E1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2.产品或服务已经实现收入。</w:t>
      </w:r>
    </w:p>
    <w:p w14:paraId="058A87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（三）所称“Ⅰ类知识产权”包括发明专利（含国防专利）、植物新品种、国家级农作物品种、国家新药、国家一级中药保护品种、集成电路布图设计专有权（均不包含转让未满1年的知识产权）。</w:t>
      </w:r>
    </w:p>
    <w:p w14:paraId="5B0A14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（四）所称“Ⅰ类高价值知识产权”须符合以下条件之一：</w:t>
      </w:r>
    </w:p>
    <w:p w14:paraId="757763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1.在海外有同族专利权的发明专利或在海外取得收入的其他Ⅰ类知识产权，其中专利限G20成员、新加坡以及欧洲专利局经实质审查后获得授权的发明专利。</w:t>
      </w:r>
    </w:p>
    <w:p w14:paraId="0ABAA0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2.维持年限超过10年的Ⅰ类知识产权。</w:t>
      </w:r>
    </w:p>
    <w:p w14:paraId="40E857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3.实现较高质押融资金额的Ⅰ类知识产权。</w:t>
      </w:r>
    </w:p>
    <w:p w14:paraId="33B580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4.获得国家科学技术奖或中国专利奖的Ⅰ类知识产权。</w:t>
      </w:r>
    </w:p>
    <w:p w14:paraId="6CC453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（五）所称“Ⅱ类知识产权”包括与主导产品相关的软件著作权（不含商标）、授权后维持超过2年的实用新型专利或外观设计专利（均不包含转让未满1年的知识产权）。</w:t>
      </w:r>
    </w:p>
    <w:p w14:paraId="001294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（六）所称“企业数字化转型水平”是指在优质中小企业梯度培育平台完成数字化水平免费自测，具体自测网址、相关标准等事宜，另行明确。</w:t>
      </w:r>
    </w:p>
    <w:p w14:paraId="35DA4E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所称“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14:paraId="49B876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（八）所称“股权融资”是指公司股东稀释部分公司股权给投资人，以增资扩股（出让股权不超过30%）的方式引进新的股东，从而取得公司融资的方式。</w:t>
      </w:r>
    </w:p>
    <w:p w14:paraId="53A540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所称“合格机构投资者”是指符合《创业投资企业管理暂行办法》（发展改革委等10部门令第39号）或者《私募投资基金监督管理暂行办法》（证监会令第105号）相关规定，按照上述规定完成备案且规范运作的创业投资基金及私募股权投资基金。</w:t>
      </w:r>
    </w:p>
    <w:p w14:paraId="17DBDC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（十）所称“主导产品”是指企业核心技术在产品中发挥重要作用，且产品收入之和占企业同期营业收入比重超过50%。</w:t>
      </w:r>
    </w:p>
    <w:p w14:paraId="505C31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（十一）所称“省级科技奖励”包括各省、自治区、直辖市科学技术奖的一、二、三等奖；“国家级科技奖励”包括国家科学技术进步奖、国家自然科学奖、国家技术发明奖，以及国防科技奖。</w:t>
      </w:r>
    </w:p>
    <w:p w14:paraId="265980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（十二）如无特殊说明，所称“以上”、“以下”，包括本数；所称的“超过”，不包括本数。在计算评价指标得分时，如指标值位于两个评分区间边界上，按高分计算得分。</w:t>
      </w:r>
    </w:p>
    <w:p w14:paraId="31E3AA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（十三）本办法部分指标计算公式</w:t>
      </w:r>
    </w:p>
    <w:p w14:paraId="63157C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近2年主营业务收入平均增长率=（企业上一年度主营业务收入增长率+企业上上年度主营业务收入增长率）/2。</w:t>
      </w:r>
    </w:p>
    <w:p w14:paraId="5B1BFE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（十四）所称“被列入经营异常名录”以国家企业信用信息公示系统（http://www.gsxt.gov.cn）查询结果为准；所称“严重失信主体名单”以信用中国（http://www.creditchina.gov.cn）查询结果为准。</w:t>
      </w:r>
    </w:p>
    <w:p w14:paraId="515AC3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（十五）所称“创客中国”中小企业创新创业大赛全国500强、50强企业组名单是指该大赛2021年以来正式发布的名单。</w:t>
      </w:r>
    </w:p>
    <w:p w14:paraId="050DCE0C">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rPr>
      </w:pPr>
    </w:p>
    <w:p w14:paraId="512B1028">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r>
        <w:rPr>
          <w:rFonts w:hint="default" w:ascii="Times New Roman" w:hAnsi="Times New Roman" w:eastAsia="黑体" w:cs="Times New Roman"/>
          <w:color w:val="auto"/>
          <w:sz w:val="32"/>
          <w:szCs w:val="32"/>
        </w:rPr>
        <w:t>附件2-1</w:t>
      </w:r>
    </w:p>
    <w:p w14:paraId="61B136AC">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黑体" w:cs="Times New Roman"/>
          <w:color w:val="auto"/>
          <w:sz w:val="32"/>
          <w:szCs w:val="32"/>
        </w:rPr>
      </w:pPr>
    </w:p>
    <w:p w14:paraId="7BD4DF37">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专精特新中小企业佐证材料清单</w:t>
      </w:r>
    </w:p>
    <w:p w14:paraId="369E6801">
      <w:pPr>
        <w:keepNext w:val="0"/>
        <w:keepLines w:val="0"/>
        <w:pageBreakBefore w:val="0"/>
        <w:widowControl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kern w:val="0"/>
          <w:sz w:val="32"/>
          <w:szCs w:val="32"/>
          <w:lang w:bidi="ar"/>
        </w:rPr>
      </w:pPr>
    </w:p>
    <w:p w14:paraId="11D44FE2">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1、企业真实性声明和合规经营承诺（附件2-2）；</w:t>
      </w:r>
    </w:p>
    <w:p w14:paraId="1C8E47FF">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2、企业营业执照；</w:t>
      </w:r>
    </w:p>
    <w:p w14:paraId="50DEC660">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kern w:val="0"/>
          <w:sz w:val="32"/>
          <w:szCs w:val="32"/>
          <w:highlight w:val="yellow"/>
          <w:lang w:bidi="ar"/>
        </w:rPr>
      </w:pPr>
      <w:r>
        <w:rPr>
          <w:rFonts w:hint="default" w:ascii="Times New Roman" w:hAnsi="Times New Roman" w:eastAsia="仿宋_GB2312" w:cs="Times New Roman"/>
          <w:color w:val="auto"/>
          <w:kern w:val="0"/>
          <w:sz w:val="32"/>
          <w:szCs w:val="32"/>
          <w:lang w:bidi="ar"/>
        </w:rPr>
        <w:t>3、已赋码的</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kern w:val="0"/>
          <w:sz w:val="32"/>
          <w:szCs w:val="32"/>
          <w:lang w:bidi="ar"/>
        </w:rPr>
        <w:t>年度审计报告、</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kern w:val="0"/>
          <w:sz w:val="32"/>
          <w:szCs w:val="32"/>
          <w:lang w:bidi="ar"/>
        </w:rPr>
        <w:t>年度审计报告</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highlight w:val="none"/>
          <w:lang w:eastAsia="zh-CN" w:bidi="ar"/>
        </w:rPr>
        <w:t>审计报告中未包含</w:t>
      </w:r>
      <w:r>
        <w:rPr>
          <w:rFonts w:hint="default" w:ascii="Times New Roman" w:hAnsi="Times New Roman" w:eastAsia="仿宋_GB2312" w:cs="Times New Roman"/>
          <w:color w:val="auto"/>
          <w:kern w:val="0"/>
          <w:sz w:val="32"/>
          <w:szCs w:val="32"/>
          <w:highlight w:val="none"/>
          <w:lang w:val="en-US" w:eastAsia="zh-CN" w:bidi="ar"/>
        </w:rPr>
        <w:t>2023年数据的需提供2023年所得税纳税申报表</w:t>
      </w:r>
      <w:r>
        <w:rPr>
          <w:rFonts w:hint="default" w:ascii="Times New Roman" w:hAnsi="Times New Roman" w:eastAsia="仿宋_GB2312" w:cs="Times New Roman"/>
          <w:color w:val="auto"/>
          <w:kern w:val="0"/>
          <w:sz w:val="32"/>
          <w:szCs w:val="32"/>
          <w:highlight w:val="none"/>
          <w:lang w:bidi="ar"/>
        </w:rPr>
        <w:t>；</w:t>
      </w:r>
    </w:p>
    <w:p w14:paraId="4B91EFA4">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spacing w:val="0"/>
          <w:kern w:val="0"/>
          <w:sz w:val="32"/>
          <w:szCs w:val="32"/>
          <w:lang w:bidi="ar"/>
        </w:rPr>
      </w:pPr>
      <w:r>
        <w:rPr>
          <w:rFonts w:hint="default" w:ascii="Times New Roman" w:hAnsi="Times New Roman" w:eastAsia="仿宋_GB2312" w:cs="Times New Roman"/>
          <w:color w:val="auto"/>
          <w:spacing w:val="0"/>
          <w:kern w:val="0"/>
          <w:sz w:val="32"/>
          <w:szCs w:val="32"/>
          <w:lang w:bidi="ar"/>
        </w:rPr>
        <w:t>4、上年度营业收入总额在</w:t>
      </w:r>
      <w:r>
        <w:rPr>
          <w:rFonts w:hint="default" w:ascii="Times New Roman" w:hAnsi="Times New Roman" w:eastAsia="仿宋_GB2312" w:cs="Times New Roman"/>
          <w:color w:val="auto"/>
          <w:sz w:val="32"/>
          <w:szCs w:val="32"/>
        </w:rPr>
        <w:t>1000</w:t>
      </w:r>
      <w:r>
        <w:rPr>
          <w:rFonts w:hint="default" w:ascii="Times New Roman" w:hAnsi="Times New Roman" w:eastAsia="仿宋_GB2312" w:cs="Times New Roman"/>
          <w:color w:val="auto"/>
          <w:spacing w:val="0"/>
          <w:kern w:val="0"/>
          <w:sz w:val="32"/>
          <w:szCs w:val="32"/>
          <w:lang w:bidi="ar"/>
        </w:rPr>
        <w:t>万元以下，但近</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pacing w:val="0"/>
          <w:kern w:val="0"/>
          <w:sz w:val="32"/>
          <w:szCs w:val="32"/>
          <w:lang w:bidi="ar"/>
        </w:rPr>
        <w:t>年新增股权融资总额（合格机构投资者的实缴额）达到</w:t>
      </w:r>
      <w:r>
        <w:rPr>
          <w:rFonts w:hint="default" w:ascii="Times New Roman" w:hAnsi="Times New Roman" w:eastAsia="仿宋_GB2312" w:cs="Times New Roman"/>
          <w:color w:val="auto"/>
          <w:sz w:val="32"/>
          <w:szCs w:val="32"/>
        </w:rPr>
        <w:t>2000</w:t>
      </w:r>
      <w:r>
        <w:rPr>
          <w:rFonts w:hint="default" w:ascii="Times New Roman" w:hAnsi="Times New Roman" w:eastAsia="仿宋_GB2312" w:cs="Times New Roman"/>
          <w:color w:val="auto"/>
          <w:spacing w:val="0"/>
          <w:kern w:val="0"/>
          <w:sz w:val="32"/>
          <w:szCs w:val="32"/>
          <w:lang w:bidi="ar"/>
        </w:rPr>
        <w:t>万元以上佐证材料，包括银行到账凭证或融资报告（非必须）（同时提供是合格机构投资者的证明材料）；</w:t>
      </w:r>
    </w:p>
    <w:p w14:paraId="34312F7F">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5、主导产品所属领域说明材料；</w:t>
      </w:r>
    </w:p>
    <w:p w14:paraId="0D9502AE">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kern w:val="0"/>
          <w:sz w:val="32"/>
          <w:szCs w:val="32"/>
          <w:lang w:bidi="ar"/>
        </w:rPr>
        <w:t>数字化水平测试结果证明材料；</w:t>
      </w:r>
    </w:p>
    <w:p w14:paraId="30ABAD63">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kern w:val="0"/>
          <w:sz w:val="32"/>
          <w:szCs w:val="32"/>
          <w:lang w:bidi="ar"/>
        </w:rPr>
        <w:t>获得的省级以上质量奖荣誉证书；</w:t>
      </w:r>
    </w:p>
    <w:p w14:paraId="3A3D4A93">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kern w:val="0"/>
          <w:sz w:val="32"/>
          <w:szCs w:val="32"/>
          <w:lang w:bidi="ar"/>
        </w:rPr>
        <w:t>获得的质量管理体系认证的证书；</w:t>
      </w:r>
    </w:p>
    <w:p w14:paraId="243FDBD4">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spacing w:val="0"/>
          <w:kern w:val="0"/>
          <w:sz w:val="32"/>
          <w:szCs w:val="32"/>
          <w:lang w:bidi="ar"/>
        </w:rPr>
        <w:t>自主品牌佐证材料（产品注册商标证或其他相关材料）；</w:t>
      </w:r>
    </w:p>
    <w:p w14:paraId="345F7D37">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kern w:val="0"/>
          <w:sz w:val="32"/>
          <w:szCs w:val="32"/>
          <w:lang w:bidi="ar"/>
        </w:rPr>
        <w:t>参与制修订标准的佐证材料；</w:t>
      </w:r>
    </w:p>
    <w:p w14:paraId="1D6586DF">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z w:val="32"/>
          <w:szCs w:val="32"/>
        </w:rPr>
        <w:t>11、</w:t>
      </w:r>
      <w:r>
        <w:rPr>
          <w:rFonts w:hint="default" w:ascii="Times New Roman" w:hAnsi="Times New Roman" w:eastAsia="仿宋_GB2312" w:cs="Times New Roman"/>
          <w:color w:val="auto"/>
          <w:sz w:val="32"/>
          <w:szCs w:val="32"/>
          <w:lang w:bidi="ar"/>
        </w:rPr>
        <w:t>主导产品在全国细分市场占有率</w:t>
      </w:r>
      <w:r>
        <w:rPr>
          <w:rFonts w:hint="default" w:ascii="Times New Roman" w:hAnsi="Times New Roman" w:eastAsia="仿宋_GB2312" w:cs="Times New Roman"/>
          <w:color w:val="auto"/>
          <w:kern w:val="0"/>
          <w:sz w:val="32"/>
          <w:szCs w:val="32"/>
          <w:lang w:bidi="ar"/>
        </w:rPr>
        <w:t>的证明材料；</w:t>
      </w:r>
    </w:p>
    <w:p w14:paraId="21E455C2">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z w:val="32"/>
          <w:szCs w:val="32"/>
        </w:rPr>
        <w:t>12、</w:t>
      </w:r>
      <w:r>
        <w:rPr>
          <w:rFonts w:hint="default" w:ascii="Times New Roman" w:hAnsi="Times New Roman" w:eastAsia="仿宋_GB2312" w:cs="Times New Roman"/>
          <w:color w:val="auto"/>
          <w:kern w:val="0"/>
          <w:sz w:val="32"/>
          <w:szCs w:val="32"/>
          <w:lang w:bidi="ar"/>
        </w:rPr>
        <w:t>属于标杆示范企业的证明材料；</w:t>
      </w:r>
    </w:p>
    <w:p w14:paraId="6860FA77">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z w:val="32"/>
          <w:szCs w:val="32"/>
        </w:rPr>
        <w:t>13、</w:t>
      </w:r>
      <w:r>
        <w:rPr>
          <w:rFonts w:hint="default" w:ascii="Times New Roman" w:hAnsi="Times New Roman" w:eastAsia="仿宋_GB2312" w:cs="Times New Roman"/>
          <w:color w:val="auto"/>
          <w:kern w:val="0"/>
          <w:sz w:val="32"/>
          <w:szCs w:val="32"/>
          <w:lang w:bidi="ar"/>
        </w:rPr>
        <w:t>知识产权证书；</w:t>
      </w:r>
    </w:p>
    <w:p w14:paraId="69A8C89A">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sz w:val="32"/>
          <w:szCs w:val="32"/>
          <w:highlight w:val="none"/>
        </w:rPr>
        <w:t>14、</w:t>
      </w:r>
      <w:r>
        <w:rPr>
          <w:rFonts w:hint="default" w:ascii="Times New Roman" w:hAnsi="Times New Roman" w:eastAsia="仿宋_GB2312" w:cs="Times New Roman"/>
          <w:color w:val="auto"/>
          <w:kern w:val="0"/>
          <w:sz w:val="32"/>
          <w:szCs w:val="32"/>
          <w:highlight w:val="none"/>
          <w:lang w:bidi="ar"/>
        </w:rPr>
        <w:t>研发人员占比的说明材料</w:t>
      </w:r>
      <w:r>
        <w:rPr>
          <w:rFonts w:hint="default" w:ascii="Times New Roman" w:hAnsi="Times New Roman" w:eastAsia="仿宋_GB2312" w:cs="Times New Roman"/>
          <w:color w:val="auto"/>
          <w:kern w:val="0"/>
          <w:sz w:val="32"/>
          <w:szCs w:val="32"/>
          <w:highlight w:val="none"/>
          <w:lang w:eastAsia="zh-CN" w:bidi="ar"/>
        </w:rPr>
        <w:t>（上年度社保缴费人数证明、研发人员花名册、劳动合同、学历学位证书等）</w:t>
      </w:r>
      <w:r>
        <w:rPr>
          <w:rFonts w:hint="default" w:ascii="Times New Roman" w:hAnsi="Times New Roman" w:eastAsia="仿宋_GB2312" w:cs="Times New Roman"/>
          <w:color w:val="auto"/>
          <w:kern w:val="0"/>
          <w:sz w:val="32"/>
          <w:szCs w:val="32"/>
          <w:highlight w:val="none"/>
          <w:lang w:bidi="ar"/>
        </w:rPr>
        <w:t>；</w:t>
      </w:r>
    </w:p>
    <w:p w14:paraId="754CC9E9">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z w:val="32"/>
          <w:szCs w:val="32"/>
        </w:rPr>
        <w:t>15、</w:t>
      </w:r>
      <w:r>
        <w:rPr>
          <w:rFonts w:hint="default" w:ascii="Times New Roman" w:hAnsi="Times New Roman" w:eastAsia="仿宋_GB2312" w:cs="Times New Roman"/>
          <w:color w:val="auto"/>
          <w:kern w:val="0"/>
          <w:sz w:val="32"/>
          <w:szCs w:val="32"/>
          <w:lang w:bidi="ar"/>
        </w:rPr>
        <w:t>建立研发机构级别佐证材料。</w:t>
      </w:r>
    </w:p>
    <w:p w14:paraId="010728BB">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16、若有符合下列条件之一的，需提供一项：</w:t>
      </w:r>
    </w:p>
    <w:p w14:paraId="3D2E45FC">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①近</w:t>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kern w:val="0"/>
          <w:sz w:val="32"/>
          <w:szCs w:val="32"/>
          <w:lang w:bidi="ar"/>
        </w:rPr>
        <w:t>年获得省级科技奖励并在获奖单位中排名前三的证明材料；或获得国家级科技奖励并在获奖单位中排名前五的证明材料；</w:t>
      </w:r>
    </w:p>
    <w:p w14:paraId="3C4DC56C">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spacing w:val="0"/>
          <w:kern w:val="0"/>
          <w:sz w:val="32"/>
          <w:szCs w:val="32"/>
          <w:lang w:bidi="ar"/>
        </w:rPr>
      </w:pPr>
      <w:r>
        <w:rPr>
          <w:rFonts w:hint="default" w:ascii="Times New Roman" w:hAnsi="Times New Roman" w:eastAsia="仿宋_GB2312" w:cs="Times New Roman"/>
          <w:color w:val="auto"/>
          <w:spacing w:val="0"/>
          <w:kern w:val="0"/>
          <w:sz w:val="32"/>
          <w:szCs w:val="32"/>
          <w:lang w:bidi="ar"/>
        </w:rPr>
        <w:t>②近</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pacing w:val="0"/>
          <w:kern w:val="0"/>
          <w:sz w:val="32"/>
          <w:szCs w:val="32"/>
          <w:lang w:bidi="ar"/>
        </w:rPr>
        <w:t>年研发费用总额均值在</w:t>
      </w:r>
      <w:r>
        <w:rPr>
          <w:rFonts w:hint="default" w:ascii="Times New Roman" w:hAnsi="Times New Roman" w:eastAsia="仿宋_GB2312" w:cs="Times New Roman"/>
          <w:color w:val="auto"/>
          <w:sz w:val="32"/>
          <w:szCs w:val="32"/>
        </w:rPr>
        <w:t>1000</w:t>
      </w:r>
      <w:r>
        <w:rPr>
          <w:rFonts w:hint="default" w:ascii="Times New Roman" w:hAnsi="Times New Roman" w:eastAsia="仿宋_GB2312" w:cs="Times New Roman"/>
          <w:color w:val="auto"/>
          <w:spacing w:val="0"/>
          <w:kern w:val="0"/>
          <w:sz w:val="32"/>
          <w:szCs w:val="32"/>
          <w:lang w:bidi="ar"/>
        </w:rPr>
        <w:t>万元以上的证明材料；</w:t>
      </w:r>
    </w:p>
    <w:p w14:paraId="77D94EFA">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w:t>
      </w:r>
      <w:r>
        <w:rPr>
          <w:rFonts w:hint="default" w:ascii="Times New Roman" w:hAnsi="Times New Roman" w:eastAsia="仿宋_GB2312" w:cs="Times New Roman"/>
          <w:color w:val="auto"/>
          <w:kern w:val="0"/>
          <w:sz w:val="32"/>
          <w:szCs w:val="32"/>
          <w:lang w:bidi="ar"/>
        </w:rPr>
        <w:t>近</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kern w:val="0"/>
          <w:sz w:val="32"/>
          <w:szCs w:val="32"/>
          <w:lang w:bidi="ar"/>
        </w:rPr>
        <w:t>年新增股权融资总额（合格机构投资者的实缴额）</w:t>
      </w:r>
      <w:r>
        <w:rPr>
          <w:rFonts w:hint="default" w:ascii="Times New Roman" w:hAnsi="Times New Roman" w:eastAsia="仿宋_GB2312" w:cs="Times New Roman"/>
          <w:color w:val="auto"/>
          <w:sz w:val="32"/>
          <w:szCs w:val="32"/>
        </w:rPr>
        <w:t>6000万元以上佐证材料，包括银行到账凭证或融资报告</w:t>
      </w:r>
      <w:r>
        <w:rPr>
          <w:rFonts w:hint="default" w:ascii="Times New Roman" w:hAnsi="Times New Roman" w:eastAsia="仿宋_GB2312" w:cs="Times New Roman"/>
          <w:color w:val="auto"/>
          <w:spacing w:val="0"/>
          <w:kern w:val="0"/>
          <w:sz w:val="32"/>
          <w:szCs w:val="32"/>
          <w:lang w:bidi="ar"/>
        </w:rPr>
        <w:t>（同时提供是合格机构投资者的证明材料）</w:t>
      </w:r>
      <w:r>
        <w:rPr>
          <w:rFonts w:hint="default" w:ascii="Times New Roman" w:hAnsi="Times New Roman" w:eastAsia="仿宋_GB2312" w:cs="Times New Roman"/>
          <w:color w:val="auto"/>
          <w:sz w:val="32"/>
          <w:szCs w:val="32"/>
        </w:rPr>
        <w:t>；</w:t>
      </w:r>
    </w:p>
    <w:p w14:paraId="7105124A">
      <w:pPr>
        <w:keepNext w:val="0"/>
        <w:keepLines w:val="0"/>
        <w:pageBreakBefore w:val="0"/>
        <w:widowControl w:val="0"/>
        <w:kinsoku/>
        <w:wordWrap/>
        <w:overflowPunct/>
        <w:topLinePunct w:val="0"/>
        <w:autoSpaceDE/>
        <w:bidi w:val="0"/>
        <w:adjustRightInd/>
        <w:snapToGrid/>
        <w:spacing w:line="600" w:lineRule="exact"/>
        <w:ind w:firstLine="640" w:firstLineChars="20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z w:val="32"/>
          <w:szCs w:val="32"/>
        </w:rPr>
        <w:t>④近三年</w:t>
      </w:r>
      <w:r>
        <w:rPr>
          <w:rFonts w:hint="default" w:ascii="Times New Roman" w:hAnsi="Times New Roman" w:eastAsia="仿宋_GB2312" w:cs="Times New Roman"/>
          <w:color w:val="auto"/>
          <w:kern w:val="0"/>
          <w:sz w:val="32"/>
          <w:szCs w:val="32"/>
          <w:lang w:bidi="ar"/>
        </w:rPr>
        <w:t>进入“创客中国”中小企业创新创业大赛全国</w:t>
      </w:r>
      <w:r>
        <w:rPr>
          <w:rFonts w:hint="default" w:ascii="Times New Roman" w:hAnsi="Times New Roman" w:eastAsia="仿宋_GB2312" w:cs="Times New Roman"/>
          <w:color w:val="auto"/>
          <w:sz w:val="32"/>
          <w:szCs w:val="32"/>
        </w:rPr>
        <w:t>500</w:t>
      </w:r>
      <w:r>
        <w:rPr>
          <w:rFonts w:hint="default" w:ascii="Times New Roman" w:hAnsi="Times New Roman" w:eastAsia="仿宋_GB2312" w:cs="Times New Roman"/>
          <w:color w:val="auto"/>
          <w:kern w:val="0"/>
          <w:sz w:val="32"/>
          <w:szCs w:val="32"/>
          <w:lang w:bidi="ar"/>
        </w:rPr>
        <w:t>强企业组名单的证明材料及获奖证书。</w:t>
      </w:r>
    </w:p>
    <w:p w14:paraId="0117EB68">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rPr>
      </w:pPr>
    </w:p>
    <w:p w14:paraId="7B59C033">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r>
        <w:rPr>
          <w:rFonts w:hint="default" w:ascii="Times New Roman" w:hAnsi="Times New Roman" w:eastAsia="黑体" w:cs="Times New Roman"/>
          <w:color w:val="auto"/>
          <w:sz w:val="32"/>
          <w:szCs w:val="32"/>
        </w:rPr>
        <w:t>附件2-2</w:t>
      </w:r>
    </w:p>
    <w:p w14:paraId="404D22CE">
      <w:pPr>
        <w:keepNext w:val="0"/>
        <w:keepLines w:val="0"/>
        <w:pageBreakBefore w:val="0"/>
        <w:widowControl/>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kern w:val="0"/>
          <w:sz w:val="44"/>
          <w:szCs w:val="44"/>
        </w:rPr>
      </w:pPr>
    </w:p>
    <w:p w14:paraId="23000504">
      <w:pPr>
        <w:keepNext w:val="0"/>
        <w:keepLines w:val="0"/>
        <w:pageBreakBefore w:val="0"/>
        <w:widowControl/>
        <w:kinsoku/>
        <w:wordWrap/>
        <w:overflowPunct/>
        <w:topLinePunct w:val="0"/>
        <w:autoSpaceDE/>
        <w:bidi w:val="0"/>
        <w:adjustRightInd/>
        <w:snapToGrid/>
        <w:spacing w:line="600" w:lineRule="exact"/>
        <w:ind w:firstLine="0" w:firstLineChars="0"/>
        <w:jc w:val="center"/>
        <w:rPr>
          <w:rFonts w:hint="default" w:ascii="Times New Roman" w:hAnsi="Times New Roman" w:eastAsia="方正小标宋简体" w:cs="Times New Roman"/>
          <w:color w:val="auto"/>
          <w:kern w:val="0"/>
          <w:sz w:val="40"/>
          <w:szCs w:val="40"/>
        </w:rPr>
      </w:pPr>
      <w:r>
        <w:rPr>
          <w:rFonts w:hint="default" w:ascii="Times New Roman" w:hAnsi="Times New Roman" w:eastAsia="方正小标宋简体" w:cs="Times New Roman"/>
          <w:color w:val="auto"/>
          <w:kern w:val="0"/>
          <w:sz w:val="40"/>
          <w:szCs w:val="40"/>
        </w:rPr>
        <w:t>真实性声明和合规经营承诺</w:t>
      </w:r>
    </w:p>
    <w:p w14:paraId="204D91B5">
      <w:pPr>
        <w:keepNext w:val="0"/>
        <w:keepLines w:val="0"/>
        <w:pageBreakBefore w:val="0"/>
        <w:widowControl/>
        <w:kinsoku/>
        <w:wordWrap/>
        <w:overflowPunct/>
        <w:topLinePunct w:val="0"/>
        <w:autoSpaceDE/>
        <w:bidi w:val="0"/>
        <w:adjustRightInd/>
        <w:snapToGrid/>
        <w:spacing w:line="600" w:lineRule="exact"/>
        <w:ind w:firstLine="0" w:firstLineChars="0"/>
        <w:rPr>
          <w:rFonts w:hint="default" w:ascii="Times New Roman" w:hAnsi="Times New Roman" w:eastAsia="方正小标宋简体" w:cs="Times New Roman"/>
          <w:color w:val="auto"/>
          <w:kern w:val="0"/>
          <w:sz w:val="32"/>
          <w:szCs w:val="32"/>
        </w:rPr>
      </w:pPr>
    </w:p>
    <w:p w14:paraId="05D1B38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一、本企业填报的专精特新中小企业认定内容和所提交的纸质资料均准确、真实、合法、有效、无涉密信息。</w:t>
      </w:r>
    </w:p>
    <w:p w14:paraId="25BA0E6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本企业未被列入经营异常名录或严重失信主体名单，提供的产品（服务）不属于国家禁止、限制或淘汰类，同时近三年未发生重大安全（含网络安全、数据安全）、质量、环境污染等事故以及偷漏税等违法违规行为。</w:t>
      </w:r>
    </w:p>
    <w:p w14:paraId="3E2DA88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三、本企业愿为以上事项承担有关法律责任。</w:t>
      </w:r>
    </w:p>
    <w:p w14:paraId="11E2F07C">
      <w:pPr>
        <w:keepNext w:val="0"/>
        <w:keepLines w:val="0"/>
        <w:pageBreakBefore w:val="0"/>
        <w:widowControl/>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kern w:val="0"/>
          <w:sz w:val="32"/>
          <w:szCs w:val="32"/>
        </w:rPr>
      </w:pPr>
    </w:p>
    <w:p w14:paraId="5D344FEC">
      <w:pPr>
        <w:keepNext w:val="0"/>
        <w:keepLines w:val="0"/>
        <w:pageBreakBefore w:val="0"/>
        <w:widowControl/>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kern w:val="0"/>
          <w:sz w:val="32"/>
          <w:szCs w:val="32"/>
        </w:rPr>
      </w:pPr>
    </w:p>
    <w:p w14:paraId="661E4632">
      <w:pPr>
        <w:keepNext w:val="0"/>
        <w:keepLines w:val="0"/>
        <w:pageBreakBefore w:val="0"/>
        <w:widowControl/>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法定代表人（签名）：             企业（公章）</w:t>
      </w:r>
    </w:p>
    <w:p w14:paraId="4A932761">
      <w:pPr>
        <w:keepNext w:val="0"/>
        <w:keepLines w:val="0"/>
        <w:pageBreakBefore w:val="0"/>
        <w:widowControl/>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kern w:val="0"/>
          <w:sz w:val="32"/>
          <w:szCs w:val="32"/>
        </w:rPr>
      </w:pPr>
    </w:p>
    <w:p w14:paraId="08ADB845">
      <w:pPr>
        <w:keepNext w:val="0"/>
        <w:keepLines w:val="0"/>
        <w:pageBreakBefore w:val="0"/>
        <w:widowControl/>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kern w:val="0"/>
          <w:sz w:val="32"/>
          <w:szCs w:val="32"/>
        </w:rPr>
      </w:pPr>
    </w:p>
    <w:p w14:paraId="53582336">
      <w:pPr>
        <w:keepNext w:val="0"/>
        <w:keepLines w:val="0"/>
        <w:pageBreakBefore w:val="0"/>
        <w:widowControl/>
        <w:kinsoku/>
        <w:wordWrap/>
        <w:overflowPunct/>
        <w:topLinePunct w:val="0"/>
        <w:autoSpaceDE/>
        <w:bidi w:val="0"/>
        <w:adjustRightInd/>
        <w:snapToGrid/>
        <w:spacing w:line="600" w:lineRule="exact"/>
        <w:ind w:firstLine="0" w:firstLineChars="0"/>
        <w:jc w:val="righ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日期：     年    月   日</w:t>
      </w:r>
    </w:p>
    <w:p w14:paraId="7A966321">
      <w:pPr>
        <w:keepNext w:val="0"/>
        <w:keepLines w:val="0"/>
        <w:pageBreakBefore w:val="0"/>
        <w:widowControl/>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kern w:val="0"/>
          <w:sz w:val="32"/>
          <w:szCs w:val="32"/>
        </w:rPr>
      </w:pPr>
    </w:p>
    <w:p w14:paraId="5BF01760">
      <w:pPr>
        <w:keepNext w:val="0"/>
        <w:keepLines w:val="0"/>
        <w:pageBreakBefore w:val="0"/>
        <w:widowControl/>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kern w:val="0"/>
          <w:sz w:val="32"/>
          <w:szCs w:val="32"/>
        </w:rPr>
      </w:pPr>
    </w:p>
    <w:p w14:paraId="54164CD4">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rPr>
      </w:pPr>
    </w:p>
    <w:p w14:paraId="275A236B">
      <w:pPr>
        <w:keepNext w:val="0"/>
        <w:keepLines w:val="0"/>
        <w:pageBreakBefore w:val="0"/>
        <w:widowControl/>
        <w:kinsoku/>
        <w:wordWrap/>
        <w:overflowPunct/>
        <w:topLinePunct w:val="0"/>
        <w:autoSpaceDE/>
        <w:bidi w:val="0"/>
        <w:adjustRightInd/>
        <w:snapToGrid/>
        <w:spacing w:line="600" w:lineRule="exact"/>
        <w:ind w:firstLine="0" w:firstLineChars="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br w:type="page"/>
      </w:r>
      <w:r>
        <w:rPr>
          <w:rFonts w:hint="default" w:ascii="Times New Roman" w:hAnsi="Times New Roman" w:eastAsia="黑体" w:cs="Times New Roman"/>
          <w:color w:val="auto"/>
          <w:kern w:val="0"/>
          <w:sz w:val="32"/>
          <w:szCs w:val="32"/>
        </w:rPr>
        <w:t>附件3</w:t>
      </w:r>
    </w:p>
    <w:p w14:paraId="1052E2E8">
      <w:pPr>
        <w:keepNext w:val="0"/>
        <w:keepLines w:val="0"/>
        <w:pageBreakBefore w:val="0"/>
        <w:widowControl/>
        <w:kinsoku/>
        <w:wordWrap/>
        <w:overflowPunct/>
        <w:topLinePunct w:val="0"/>
        <w:autoSpaceDE/>
        <w:bidi w:val="0"/>
        <w:adjustRightInd/>
        <w:snapToGrid/>
        <w:spacing w:line="600" w:lineRule="exact"/>
        <w:ind w:firstLine="0" w:firstLineChars="0"/>
        <w:jc w:val="center"/>
        <w:rPr>
          <w:rFonts w:hint="default" w:ascii="Times New Roman" w:hAnsi="Times New Roman" w:eastAsia="方正小标宋简体" w:cs="Times New Roman"/>
          <w:color w:val="auto"/>
          <w:kern w:val="0"/>
          <w:sz w:val="40"/>
          <w:szCs w:val="40"/>
          <w:lang w:bidi="ar"/>
        </w:rPr>
      </w:pPr>
      <w:r>
        <w:rPr>
          <w:rFonts w:hint="default" w:ascii="Times New Roman" w:hAnsi="Times New Roman" w:eastAsia="方正小标宋简体" w:cs="Times New Roman"/>
          <w:color w:val="auto"/>
          <w:kern w:val="0"/>
          <w:sz w:val="40"/>
          <w:szCs w:val="40"/>
          <w:lang w:bidi="ar"/>
        </w:rPr>
        <w:t>专精特新中小企业推荐汇总表</w:t>
      </w:r>
    </w:p>
    <w:p w14:paraId="1B7FBE6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kern w:val="0"/>
          <w:sz w:val="28"/>
          <w:szCs w:val="28"/>
          <w:lang w:bidi="ar"/>
        </w:rPr>
      </w:pPr>
    </w:p>
    <w:p w14:paraId="77C2A354">
      <w:pPr>
        <w:keepNext w:val="0"/>
        <w:keepLines w:val="0"/>
        <w:pageBreakBefore w:val="0"/>
        <w:widowControl/>
        <w:kinsoku/>
        <w:wordWrap/>
        <w:overflowPunct/>
        <w:topLinePunct w:val="0"/>
        <w:autoSpaceDE/>
        <w:bidi w:val="0"/>
        <w:adjustRightInd/>
        <w:snapToGrid/>
        <w:spacing w:line="600" w:lineRule="exact"/>
        <w:ind w:firstLine="0" w:firstLineChars="0"/>
        <w:jc w:val="left"/>
        <w:rPr>
          <w:rFonts w:hint="default" w:ascii="Times New Roman" w:hAnsi="Times New Roman" w:eastAsia="仿宋_GB2312" w:cs="Times New Roman"/>
          <w:color w:val="auto"/>
          <w:kern w:val="0"/>
          <w:sz w:val="40"/>
          <w:szCs w:val="40"/>
          <w:lang w:bidi="ar"/>
        </w:rPr>
      </w:pPr>
      <w:r>
        <w:rPr>
          <w:rFonts w:hint="default" w:ascii="Times New Roman" w:hAnsi="Times New Roman" w:eastAsia="仿宋_GB2312" w:cs="Times New Roman"/>
          <w:color w:val="auto"/>
          <w:kern w:val="0"/>
          <w:sz w:val="28"/>
          <w:szCs w:val="28"/>
          <w:lang w:bidi="ar"/>
        </w:rPr>
        <w:t>市工信局（盖章）：</w:t>
      </w:r>
    </w:p>
    <w:tbl>
      <w:tblPr>
        <w:tblStyle w:val="3"/>
        <w:tblW w:w="9000" w:type="dxa"/>
        <w:jc w:val="center"/>
        <w:tblLayout w:type="autofit"/>
        <w:tblCellMar>
          <w:top w:w="0" w:type="dxa"/>
          <w:left w:w="108" w:type="dxa"/>
          <w:bottom w:w="0" w:type="dxa"/>
          <w:right w:w="108" w:type="dxa"/>
        </w:tblCellMar>
      </w:tblPr>
      <w:tblGrid>
        <w:gridCol w:w="865"/>
        <w:gridCol w:w="2693"/>
        <w:gridCol w:w="2235"/>
        <w:gridCol w:w="1695"/>
        <w:gridCol w:w="1512"/>
      </w:tblGrid>
      <w:tr w14:paraId="6DF90094">
        <w:tblPrEx>
          <w:tblCellMar>
            <w:top w:w="0" w:type="dxa"/>
            <w:left w:w="108" w:type="dxa"/>
            <w:bottom w:w="0" w:type="dxa"/>
            <w:right w:w="108" w:type="dxa"/>
          </w:tblCellMar>
        </w:tblPrEx>
        <w:trPr>
          <w:trHeight w:val="1187"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139E6935">
            <w:pPr>
              <w:keepNext w:val="0"/>
              <w:keepLines w:val="0"/>
              <w:pageBreakBefore w:val="0"/>
              <w:widowControl/>
              <w:kinsoku/>
              <w:wordWrap/>
              <w:overflowPunct/>
              <w:topLinePunct w:val="0"/>
              <w:autoSpaceDE/>
              <w:bidi w:val="0"/>
              <w:adjustRightInd/>
              <w:snapToGrid/>
              <w:spacing w:line="240" w:lineRule="auto"/>
              <w:ind w:firstLine="0" w:firstLineChars="0"/>
              <w:jc w:val="center"/>
              <w:textAlignment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kern w:val="0"/>
                <w:sz w:val="24"/>
                <w:szCs w:val="24"/>
                <w:lang w:bidi="ar"/>
              </w:rPr>
              <w:t>序号</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5472DB8F">
            <w:pPr>
              <w:keepNext w:val="0"/>
              <w:keepLines w:val="0"/>
              <w:pageBreakBefore w:val="0"/>
              <w:widowControl/>
              <w:kinsoku/>
              <w:wordWrap/>
              <w:overflowPunct/>
              <w:topLinePunct w:val="0"/>
              <w:autoSpaceDE/>
              <w:bidi w:val="0"/>
              <w:adjustRightInd/>
              <w:snapToGrid/>
              <w:spacing w:line="240" w:lineRule="auto"/>
              <w:ind w:firstLine="0" w:firstLineChars="0"/>
              <w:jc w:val="center"/>
              <w:textAlignment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kern w:val="0"/>
                <w:sz w:val="24"/>
                <w:szCs w:val="24"/>
                <w:lang w:bidi="ar"/>
              </w:rPr>
              <w:t>企业名称</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4307729">
            <w:pPr>
              <w:keepNext w:val="0"/>
              <w:keepLines w:val="0"/>
              <w:pageBreakBefore w:val="0"/>
              <w:widowControl/>
              <w:kinsoku/>
              <w:wordWrap/>
              <w:overflowPunct/>
              <w:topLinePunct w:val="0"/>
              <w:autoSpaceDE/>
              <w:bidi w:val="0"/>
              <w:adjustRightInd/>
              <w:snapToGrid/>
              <w:spacing w:line="240" w:lineRule="auto"/>
              <w:ind w:firstLine="0" w:firstLineChars="0"/>
              <w:jc w:val="center"/>
              <w:textAlignment w:val="center"/>
              <w:rPr>
                <w:rFonts w:hint="default" w:ascii="Times New Roman" w:hAnsi="Times New Roman" w:eastAsia="黑体" w:cs="Times New Roman"/>
                <w:color w:val="auto"/>
                <w:kern w:val="0"/>
                <w:sz w:val="24"/>
                <w:szCs w:val="24"/>
                <w:lang w:bidi="ar"/>
              </w:rPr>
            </w:pPr>
            <w:r>
              <w:rPr>
                <w:rFonts w:hint="default" w:ascii="Times New Roman" w:hAnsi="Times New Roman" w:eastAsia="黑体" w:cs="Times New Roman"/>
                <w:color w:val="auto"/>
                <w:kern w:val="0"/>
                <w:sz w:val="24"/>
                <w:szCs w:val="24"/>
                <w:lang w:bidi="ar"/>
              </w:rPr>
              <w:t>统一社会</w:t>
            </w:r>
          </w:p>
          <w:p w14:paraId="5ABB8B95">
            <w:pPr>
              <w:keepNext w:val="0"/>
              <w:keepLines w:val="0"/>
              <w:pageBreakBefore w:val="0"/>
              <w:widowControl/>
              <w:kinsoku/>
              <w:wordWrap/>
              <w:overflowPunct/>
              <w:topLinePunct w:val="0"/>
              <w:autoSpaceDE/>
              <w:bidi w:val="0"/>
              <w:adjustRightInd/>
              <w:snapToGrid/>
              <w:spacing w:line="240" w:lineRule="auto"/>
              <w:ind w:firstLine="0" w:firstLineChars="0"/>
              <w:jc w:val="center"/>
              <w:textAlignment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kern w:val="0"/>
                <w:sz w:val="24"/>
                <w:szCs w:val="24"/>
                <w:lang w:bidi="ar"/>
              </w:rPr>
              <w:t>信用代码</w:t>
            </w:r>
          </w:p>
        </w:tc>
        <w:tc>
          <w:tcPr>
            <w:tcW w:w="1695" w:type="dxa"/>
            <w:tcBorders>
              <w:top w:val="single" w:color="000000" w:sz="4" w:space="0"/>
              <w:left w:val="nil"/>
              <w:bottom w:val="single" w:color="000000" w:sz="4" w:space="0"/>
              <w:right w:val="single" w:color="000000" w:sz="4" w:space="0"/>
            </w:tcBorders>
            <w:noWrap w:val="0"/>
            <w:vAlign w:val="center"/>
          </w:tcPr>
          <w:p w14:paraId="0818BFC4">
            <w:pPr>
              <w:keepNext w:val="0"/>
              <w:keepLines w:val="0"/>
              <w:pageBreakBefore w:val="0"/>
              <w:widowControl/>
              <w:kinsoku/>
              <w:wordWrap/>
              <w:overflowPunct/>
              <w:topLinePunct w:val="0"/>
              <w:autoSpaceDE/>
              <w:bidi w:val="0"/>
              <w:adjustRightInd/>
              <w:snapToGrid/>
              <w:spacing w:line="240" w:lineRule="auto"/>
              <w:ind w:firstLine="0" w:firstLineChars="0"/>
              <w:jc w:val="center"/>
              <w:textAlignment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kern w:val="0"/>
                <w:sz w:val="24"/>
                <w:szCs w:val="24"/>
                <w:lang w:bidi="ar"/>
              </w:rPr>
              <w:t>是否满足4项直通条件之一</w:t>
            </w:r>
          </w:p>
        </w:tc>
        <w:tc>
          <w:tcPr>
            <w:tcW w:w="1512" w:type="dxa"/>
            <w:tcBorders>
              <w:top w:val="single" w:color="000000" w:sz="4" w:space="0"/>
              <w:left w:val="nil"/>
              <w:bottom w:val="single" w:color="000000" w:sz="4" w:space="0"/>
              <w:right w:val="single" w:color="000000" w:sz="4" w:space="0"/>
            </w:tcBorders>
            <w:noWrap w:val="0"/>
            <w:vAlign w:val="center"/>
          </w:tcPr>
          <w:p w14:paraId="7C926890">
            <w:pPr>
              <w:keepNext w:val="0"/>
              <w:keepLines w:val="0"/>
              <w:pageBreakBefore w:val="0"/>
              <w:widowControl/>
              <w:kinsoku/>
              <w:wordWrap/>
              <w:overflowPunct/>
              <w:topLinePunct w:val="0"/>
              <w:autoSpaceDE/>
              <w:bidi w:val="0"/>
              <w:adjustRightInd/>
              <w:snapToGrid/>
              <w:spacing w:line="240" w:lineRule="auto"/>
              <w:ind w:firstLine="0" w:firstLineChars="0"/>
              <w:jc w:val="center"/>
              <w:textAlignment w:val="center"/>
              <w:rPr>
                <w:rFonts w:hint="default" w:ascii="Times New Roman" w:hAnsi="Times New Roman" w:eastAsia="黑体" w:cs="Times New Roman"/>
                <w:color w:val="auto"/>
                <w:kern w:val="0"/>
                <w:sz w:val="24"/>
                <w:szCs w:val="24"/>
                <w:lang w:bidi="ar"/>
              </w:rPr>
            </w:pPr>
            <w:r>
              <w:rPr>
                <w:rFonts w:hint="default" w:ascii="Times New Roman" w:hAnsi="Times New Roman" w:eastAsia="黑体" w:cs="Times New Roman"/>
                <w:color w:val="auto"/>
                <w:kern w:val="0"/>
                <w:sz w:val="24"/>
                <w:szCs w:val="24"/>
                <w:lang w:bidi="ar"/>
              </w:rPr>
              <w:t>类别</w:t>
            </w:r>
          </w:p>
          <w:p w14:paraId="0B32682B">
            <w:pPr>
              <w:keepNext w:val="0"/>
              <w:keepLines w:val="0"/>
              <w:pageBreakBefore w:val="0"/>
              <w:widowControl/>
              <w:kinsoku/>
              <w:wordWrap/>
              <w:overflowPunct/>
              <w:topLinePunct w:val="0"/>
              <w:autoSpaceDE/>
              <w:bidi w:val="0"/>
              <w:adjustRightInd/>
              <w:snapToGrid/>
              <w:spacing w:line="240" w:lineRule="auto"/>
              <w:ind w:firstLine="0" w:firstLineChars="0"/>
              <w:jc w:val="center"/>
              <w:textAlignment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kern w:val="0"/>
                <w:sz w:val="24"/>
                <w:szCs w:val="24"/>
                <w:lang w:bidi="ar"/>
              </w:rPr>
              <w:t>（请填：申报/复核）</w:t>
            </w:r>
          </w:p>
        </w:tc>
      </w:tr>
      <w:tr w14:paraId="08168E6F">
        <w:tblPrEx>
          <w:tblCellMar>
            <w:top w:w="0" w:type="dxa"/>
            <w:left w:w="108" w:type="dxa"/>
            <w:bottom w:w="0" w:type="dxa"/>
            <w:right w:w="108" w:type="dxa"/>
          </w:tblCellMar>
        </w:tblPrEx>
        <w:trPr>
          <w:trHeight w:val="507"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69297740">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A8B0B36">
            <w:pPr>
              <w:keepNext w:val="0"/>
              <w:keepLines w:val="0"/>
              <w:pageBreakBefore w:val="0"/>
              <w:kinsoku/>
              <w:wordWrap/>
              <w:overflowPunct/>
              <w:topLinePunct w:val="0"/>
              <w:autoSpaceDE/>
              <w:bidi w:val="0"/>
              <w:adjustRightInd/>
              <w:snapToGrid/>
              <w:spacing w:line="600" w:lineRule="exact"/>
              <w:ind w:firstLine="0" w:firstLineChars="0"/>
              <w:jc w:val="left"/>
              <w:rPr>
                <w:rFonts w:hint="default" w:ascii="Times New Roman" w:hAnsi="Times New Roman" w:eastAsia="仿宋_GB2312" w:cs="Times New Roman"/>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5ECF6C94">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695" w:type="dxa"/>
            <w:tcBorders>
              <w:top w:val="single" w:color="000000" w:sz="4" w:space="0"/>
              <w:left w:val="nil"/>
              <w:bottom w:val="single" w:color="000000" w:sz="4" w:space="0"/>
              <w:right w:val="single" w:color="000000" w:sz="4" w:space="0"/>
            </w:tcBorders>
            <w:noWrap w:val="0"/>
            <w:vAlign w:val="center"/>
          </w:tcPr>
          <w:p w14:paraId="04FEA95B">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512" w:type="dxa"/>
            <w:tcBorders>
              <w:top w:val="single" w:color="000000" w:sz="4" w:space="0"/>
              <w:left w:val="nil"/>
              <w:bottom w:val="single" w:color="000000" w:sz="4" w:space="0"/>
              <w:right w:val="single" w:color="000000" w:sz="4" w:space="0"/>
            </w:tcBorders>
            <w:noWrap w:val="0"/>
            <w:vAlign w:val="center"/>
          </w:tcPr>
          <w:p w14:paraId="4320BA90">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sz w:val="24"/>
                <w:szCs w:val="24"/>
              </w:rPr>
            </w:pPr>
          </w:p>
        </w:tc>
      </w:tr>
      <w:tr w14:paraId="3F78CB37">
        <w:tblPrEx>
          <w:tblCellMar>
            <w:top w:w="0" w:type="dxa"/>
            <w:left w:w="108" w:type="dxa"/>
            <w:bottom w:w="0" w:type="dxa"/>
            <w:right w:w="108" w:type="dxa"/>
          </w:tblCellMar>
        </w:tblPrEx>
        <w:trPr>
          <w:trHeight w:val="507"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3D16ADE2">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A057D21">
            <w:pPr>
              <w:keepNext w:val="0"/>
              <w:keepLines w:val="0"/>
              <w:pageBreakBefore w:val="0"/>
              <w:kinsoku/>
              <w:wordWrap/>
              <w:overflowPunct/>
              <w:topLinePunct w:val="0"/>
              <w:autoSpaceDE/>
              <w:bidi w:val="0"/>
              <w:adjustRightInd/>
              <w:snapToGrid/>
              <w:spacing w:line="600" w:lineRule="exact"/>
              <w:ind w:firstLine="0" w:firstLineChars="0"/>
              <w:jc w:val="left"/>
              <w:rPr>
                <w:rFonts w:hint="default" w:ascii="Times New Roman" w:hAnsi="Times New Roman" w:eastAsia="仿宋_GB2312" w:cs="Times New Roman"/>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17B512AC">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695" w:type="dxa"/>
            <w:tcBorders>
              <w:top w:val="single" w:color="000000" w:sz="4" w:space="0"/>
              <w:left w:val="nil"/>
              <w:bottom w:val="single" w:color="000000" w:sz="4" w:space="0"/>
              <w:right w:val="single" w:color="000000" w:sz="4" w:space="0"/>
            </w:tcBorders>
            <w:noWrap w:val="0"/>
            <w:vAlign w:val="center"/>
          </w:tcPr>
          <w:p w14:paraId="2A5BCBED">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512" w:type="dxa"/>
            <w:tcBorders>
              <w:top w:val="single" w:color="000000" w:sz="4" w:space="0"/>
              <w:left w:val="nil"/>
              <w:bottom w:val="single" w:color="000000" w:sz="4" w:space="0"/>
              <w:right w:val="single" w:color="000000" w:sz="4" w:space="0"/>
            </w:tcBorders>
            <w:noWrap w:val="0"/>
            <w:vAlign w:val="center"/>
          </w:tcPr>
          <w:p w14:paraId="00BD48B3">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sz w:val="24"/>
                <w:szCs w:val="24"/>
              </w:rPr>
            </w:pPr>
          </w:p>
        </w:tc>
      </w:tr>
      <w:tr w14:paraId="1212C312">
        <w:tblPrEx>
          <w:tblCellMar>
            <w:top w:w="0" w:type="dxa"/>
            <w:left w:w="108" w:type="dxa"/>
            <w:bottom w:w="0" w:type="dxa"/>
            <w:right w:w="108" w:type="dxa"/>
          </w:tblCellMar>
        </w:tblPrEx>
        <w:trPr>
          <w:trHeight w:val="507"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36BBB942">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211B205">
            <w:pPr>
              <w:keepNext w:val="0"/>
              <w:keepLines w:val="0"/>
              <w:pageBreakBefore w:val="0"/>
              <w:kinsoku/>
              <w:wordWrap/>
              <w:overflowPunct/>
              <w:topLinePunct w:val="0"/>
              <w:autoSpaceDE/>
              <w:bidi w:val="0"/>
              <w:adjustRightInd/>
              <w:snapToGrid/>
              <w:spacing w:line="600" w:lineRule="exact"/>
              <w:ind w:firstLine="0" w:firstLineChars="0"/>
              <w:jc w:val="left"/>
              <w:rPr>
                <w:rFonts w:hint="default" w:ascii="Times New Roman" w:hAnsi="Times New Roman" w:eastAsia="仿宋_GB2312" w:cs="Times New Roman"/>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E972775">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695" w:type="dxa"/>
            <w:tcBorders>
              <w:top w:val="single" w:color="000000" w:sz="4" w:space="0"/>
              <w:left w:val="nil"/>
              <w:bottom w:val="single" w:color="000000" w:sz="4" w:space="0"/>
              <w:right w:val="single" w:color="000000" w:sz="4" w:space="0"/>
            </w:tcBorders>
            <w:noWrap w:val="0"/>
            <w:vAlign w:val="center"/>
          </w:tcPr>
          <w:p w14:paraId="369B1F50">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512" w:type="dxa"/>
            <w:tcBorders>
              <w:top w:val="single" w:color="000000" w:sz="4" w:space="0"/>
              <w:left w:val="nil"/>
              <w:bottom w:val="single" w:color="000000" w:sz="4" w:space="0"/>
              <w:right w:val="single" w:color="000000" w:sz="4" w:space="0"/>
            </w:tcBorders>
            <w:noWrap w:val="0"/>
            <w:vAlign w:val="center"/>
          </w:tcPr>
          <w:p w14:paraId="0713F149">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sz w:val="24"/>
                <w:szCs w:val="24"/>
              </w:rPr>
            </w:pPr>
          </w:p>
        </w:tc>
      </w:tr>
      <w:tr w14:paraId="140E4063">
        <w:tblPrEx>
          <w:tblCellMar>
            <w:top w:w="0" w:type="dxa"/>
            <w:left w:w="108" w:type="dxa"/>
            <w:bottom w:w="0" w:type="dxa"/>
            <w:right w:w="108" w:type="dxa"/>
          </w:tblCellMar>
        </w:tblPrEx>
        <w:trPr>
          <w:trHeight w:val="507"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037CA2F1">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9FD9D9B">
            <w:pPr>
              <w:keepNext w:val="0"/>
              <w:keepLines w:val="0"/>
              <w:pageBreakBefore w:val="0"/>
              <w:kinsoku/>
              <w:wordWrap/>
              <w:overflowPunct/>
              <w:topLinePunct w:val="0"/>
              <w:autoSpaceDE/>
              <w:bidi w:val="0"/>
              <w:adjustRightInd/>
              <w:snapToGrid/>
              <w:spacing w:line="600" w:lineRule="exact"/>
              <w:ind w:firstLine="0" w:firstLineChars="0"/>
              <w:jc w:val="left"/>
              <w:rPr>
                <w:rFonts w:hint="default" w:ascii="Times New Roman" w:hAnsi="Times New Roman" w:eastAsia="仿宋_GB2312" w:cs="Times New Roman"/>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71293211">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695" w:type="dxa"/>
            <w:tcBorders>
              <w:top w:val="single" w:color="000000" w:sz="4" w:space="0"/>
              <w:left w:val="nil"/>
              <w:bottom w:val="single" w:color="000000" w:sz="4" w:space="0"/>
              <w:right w:val="single" w:color="000000" w:sz="4" w:space="0"/>
            </w:tcBorders>
            <w:noWrap w:val="0"/>
            <w:vAlign w:val="center"/>
          </w:tcPr>
          <w:p w14:paraId="7DD45B58">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512" w:type="dxa"/>
            <w:tcBorders>
              <w:top w:val="single" w:color="000000" w:sz="4" w:space="0"/>
              <w:left w:val="nil"/>
              <w:bottom w:val="single" w:color="000000" w:sz="4" w:space="0"/>
              <w:right w:val="single" w:color="000000" w:sz="4" w:space="0"/>
            </w:tcBorders>
            <w:noWrap w:val="0"/>
            <w:vAlign w:val="center"/>
          </w:tcPr>
          <w:p w14:paraId="67F822DB">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sz w:val="24"/>
                <w:szCs w:val="24"/>
              </w:rPr>
            </w:pPr>
          </w:p>
        </w:tc>
      </w:tr>
      <w:tr w14:paraId="25875630">
        <w:tblPrEx>
          <w:tblCellMar>
            <w:top w:w="0" w:type="dxa"/>
            <w:left w:w="108" w:type="dxa"/>
            <w:bottom w:w="0" w:type="dxa"/>
            <w:right w:w="108" w:type="dxa"/>
          </w:tblCellMar>
        </w:tblPrEx>
        <w:trPr>
          <w:trHeight w:val="507"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4B7899A3">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58AF51C4">
            <w:pPr>
              <w:keepNext w:val="0"/>
              <w:keepLines w:val="0"/>
              <w:pageBreakBefore w:val="0"/>
              <w:kinsoku/>
              <w:wordWrap/>
              <w:overflowPunct/>
              <w:topLinePunct w:val="0"/>
              <w:autoSpaceDE/>
              <w:bidi w:val="0"/>
              <w:adjustRightInd/>
              <w:snapToGrid/>
              <w:spacing w:line="600" w:lineRule="exact"/>
              <w:ind w:firstLine="0" w:firstLineChars="0"/>
              <w:jc w:val="left"/>
              <w:rPr>
                <w:rFonts w:hint="default" w:ascii="Times New Roman" w:hAnsi="Times New Roman" w:eastAsia="仿宋_GB2312" w:cs="Times New Roman"/>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4094B2D0">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695" w:type="dxa"/>
            <w:tcBorders>
              <w:top w:val="single" w:color="000000" w:sz="4" w:space="0"/>
              <w:left w:val="nil"/>
              <w:bottom w:val="single" w:color="000000" w:sz="4" w:space="0"/>
              <w:right w:val="single" w:color="000000" w:sz="4" w:space="0"/>
            </w:tcBorders>
            <w:noWrap w:val="0"/>
            <w:vAlign w:val="center"/>
          </w:tcPr>
          <w:p w14:paraId="2EA7B630">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512" w:type="dxa"/>
            <w:tcBorders>
              <w:top w:val="single" w:color="000000" w:sz="4" w:space="0"/>
              <w:left w:val="nil"/>
              <w:bottom w:val="single" w:color="000000" w:sz="4" w:space="0"/>
              <w:right w:val="single" w:color="000000" w:sz="4" w:space="0"/>
            </w:tcBorders>
            <w:noWrap w:val="0"/>
            <w:vAlign w:val="center"/>
          </w:tcPr>
          <w:p w14:paraId="2B6B83E5">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sz w:val="24"/>
                <w:szCs w:val="24"/>
              </w:rPr>
            </w:pPr>
          </w:p>
        </w:tc>
      </w:tr>
      <w:tr w14:paraId="0CA9ABEA">
        <w:tblPrEx>
          <w:tblCellMar>
            <w:top w:w="0" w:type="dxa"/>
            <w:left w:w="108" w:type="dxa"/>
            <w:bottom w:w="0" w:type="dxa"/>
            <w:right w:w="108" w:type="dxa"/>
          </w:tblCellMar>
        </w:tblPrEx>
        <w:trPr>
          <w:trHeight w:val="507"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3FA4B0FF">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2A6E3F6">
            <w:pPr>
              <w:keepNext w:val="0"/>
              <w:keepLines w:val="0"/>
              <w:pageBreakBefore w:val="0"/>
              <w:kinsoku/>
              <w:wordWrap/>
              <w:overflowPunct/>
              <w:topLinePunct w:val="0"/>
              <w:autoSpaceDE/>
              <w:bidi w:val="0"/>
              <w:adjustRightInd/>
              <w:snapToGrid/>
              <w:spacing w:line="600" w:lineRule="exact"/>
              <w:ind w:firstLine="0" w:firstLineChars="0"/>
              <w:jc w:val="left"/>
              <w:rPr>
                <w:rFonts w:hint="default" w:ascii="Times New Roman" w:hAnsi="Times New Roman" w:eastAsia="仿宋_GB2312" w:cs="Times New Roman"/>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727ECD76">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695" w:type="dxa"/>
            <w:tcBorders>
              <w:top w:val="single" w:color="000000" w:sz="4" w:space="0"/>
              <w:left w:val="nil"/>
              <w:bottom w:val="single" w:color="000000" w:sz="4" w:space="0"/>
              <w:right w:val="single" w:color="000000" w:sz="4" w:space="0"/>
            </w:tcBorders>
            <w:noWrap w:val="0"/>
            <w:vAlign w:val="center"/>
          </w:tcPr>
          <w:p w14:paraId="775901AB">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512" w:type="dxa"/>
            <w:tcBorders>
              <w:top w:val="single" w:color="000000" w:sz="4" w:space="0"/>
              <w:left w:val="nil"/>
              <w:bottom w:val="single" w:color="000000" w:sz="4" w:space="0"/>
              <w:right w:val="single" w:color="000000" w:sz="4" w:space="0"/>
            </w:tcBorders>
            <w:noWrap w:val="0"/>
            <w:vAlign w:val="center"/>
          </w:tcPr>
          <w:p w14:paraId="1C121B70">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sz w:val="24"/>
                <w:szCs w:val="24"/>
              </w:rPr>
            </w:pPr>
          </w:p>
        </w:tc>
      </w:tr>
      <w:tr w14:paraId="587217FC">
        <w:tblPrEx>
          <w:tblCellMar>
            <w:top w:w="0" w:type="dxa"/>
            <w:left w:w="108" w:type="dxa"/>
            <w:bottom w:w="0" w:type="dxa"/>
            <w:right w:w="108" w:type="dxa"/>
          </w:tblCellMar>
        </w:tblPrEx>
        <w:trPr>
          <w:trHeight w:val="507"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0CD952AB">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D5177E3">
            <w:pPr>
              <w:keepNext w:val="0"/>
              <w:keepLines w:val="0"/>
              <w:pageBreakBefore w:val="0"/>
              <w:kinsoku/>
              <w:wordWrap/>
              <w:overflowPunct/>
              <w:topLinePunct w:val="0"/>
              <w:autoSpaceDE/>
              <w:bidi w:val="0"/>
              <w:adjustRightInd/>
              <w:snapToGrid/>
              <w:spacing w:line="600" w:lineRule="exact"/>
              <w:ind w:firstLine="0" w:firstLineChars="0"/>
              <w:jc w:val="left"/>
              <w:rPr>
                <w:rFonts w:hint="default" w:ascii="Times New Roman" w:hAnsi="Times New Roman" w:eastAsia="仿宋_GB2312" w:cs="Times New Roman"/>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4593FF8">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695" w:type="dxa"/>
            <w:tcBorders>
              <w:top w:val="single" w:color="000000" w:sz="4" w:space="0"/>
              <w:left w:val="nil"/>
              <w:bottom w:val="single" w:color="000000" w:sz="4" w:space="0"/>
              <w:right w:val="single" w:color="000000" w:sz="4" w:space="0"/>
            </w:tcBorders>
            <w:noWrap w:val="0"/>
            <w:vAlign w:val="center"/>
          </w:tcPr>
          <w:p w14:paraId="1DFB1718">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512" w:type="dxa"/>
            <w:tcBorders>
              <w:top w:val="single" w:color="000000" w:sz="4" w:space="0"/>
              <w:left w:val="nil"/>
              <w:bottom w:val="single" w:color="000000" w:sz="4" w:space="0"/>
              <w:right w:val="single" w:color="000000" w:sz="4" w:space="0"/>
            </w:tcBorders>
            <w:noWrap w:val="0"/>
            <w:vAlign w:val="center"/>
          </w:tcPr>
          <w:p w14:paraId="0522BB0B">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sz w:val="24"/>
                <w:szCs w:val="24"/>
              </w:rPr>
            </w:pPr>
          </w:p>
        </w:tc>
      </w:tr>
      <w:tr w14:paraId="286C3888">
        <w:tblPrEx>
          <w:tblCellMar>
            <w:top w:w="0" w:type="dxa"/>
            <w:left w:w="108" w:type="dxa"/>
            <w:bottom w:w="0" w:type="dxa"/>
            <w:right w:w="108" w:type="dxa"/>
          </w:tblCellMar>
        </w:tblPrEx>
        <w:trPr>
          <w:trHeight w:val="507"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1CDDCBFC">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2C62734">
            <w:pPr>
              <w:keepNext w:val="0"/>
              <w:keepLines w:val="0"/>
              <w:pageBreakBefore w:val="0"/>
              <w:kinsoku/>
              <w:wordWrap/>
              <w:overflowPunct/>
              <w:topLinePunct w:val="0"/>
              <w:autoSpaceDE/>
              <w:bidi w:val="0"/>
              <w:adjustRightInd/>
              <w:snapToGrid/>
              <w:spacing w:line="600" w:lineRule="exact"/>
              <w:ind w:firstLine="0" w:firstLineChars="0"/>
              <w:jc w:val="left"/>
              <w:rPr>
                <w:rFonts w:hint="default" w:ascii="Times New Roman" w:hAnsi="Times New Roman" w:eastAsia="仿宋_GB2312" w:cs="Times New Roman"/>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0CEF6453">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695" w:type="dxa"/>
            <w:tcBorders>
              <w:top w:val="single" w:color="000000" w:sz="4" w:space="0"/>
              <w:left w:val="nil"/>
              <w:bottom w:val="single" w:color="000000" w:sz="4" w:space="0"/>
              <w:right w:val="single" w:color="000000" w:sz="4" w:space="0"/>
            </w:tcBorders>
            <w:noWrap w:val="0"/>
            <w:vAlign w:val="center"/>
          </w:tcPr>
          <w:p w14:paraId="523F9B5C">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512" w:type="dxa"/>
            <w:tcBorders>
              <w:top w:val="single" w:color="000000" w:sz="4" w:space="0"/>
              <w:left w:val="nil"/>
              <w:bottom w:val="single" w:color="000000" w:sz="4" w:space="0"/>
              <w:right w:val="single" w:color="000000" w:sz="4" w:space="0"/>
            </w:tcBorders>
            <w:noWrap w:val="0"/>
            <w:vAlign w:val="center"/>
          </w:tcPr>
          <w:p w14:paraId="22940988">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sz w:val="24"/>
                <w:szCs w:val="24"/>
              </w:rPr>
            </w:pPr>
          </w:p>
        </w:tc>
      </w:tr>
      <w:tr w14:paraId="126E67EF">
        <w:tblPrEx>
          <w:tblCellMar>
            <w:top w:w="0" w:type="dxa"/>
            <w:left w:w="108" w:type="dxa"/>
            <w:bottom w:w="0" w:type="dxa"/>
            <w:right w:w="108" w:type="dxa"/>
          </w:tblCellMar>
        </w:tblPrEx>
        <w:trPr>
          <w:trHeight w:val="507"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3FC5398C">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5B46CD74">
            <w:pPr>
              <w:keepNext w:val="0"/>
              <w:keepLines w:val="0"/>
              <w:pageBreakBefore w:val="0"/>
              <w:kinsoku/>
              <w:wordWrap/>
              <w:overflowPunct/>
              <w:topLinePunct w:val="0"/>
              <w:autoSpaceDE/>
              <w:bidi w:val="0"/>
              <w:adjustRightInd/>
              <w:snapToGrid/>
              <w:spacing w:line="600" w:lineRule="exact"/>
              <w:ind w:firstLine="0" w:firstLineChars="0"/>
              <w:jc w:val="left"/>
              <w:rPr>
                <w:rFonts w:hint="default" w:ascii="Times New Roman" w:hAnsi="Times New Roman" w:eastAsia="仿宋_GB2312" w:cs="Times New Roman"/>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58371C1">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695" w:type="dxa"/>
            <w:tcBorders>
              <w:top w:val="single" w:color="000000" w:sz="4" w:space="0"/>
              <w:left w:val="nil"/>
              <w:bottom w:val="single" w:color="000000" w:sz="4" w:space="0"/>
              <w:right w:val="single" w:color="000000" w:sz="4" w:space="0"/>
            </w:tcBorders>
            <w:noWrap w:val="0"/>
            <w:vAlign w:val="center"/>
          </w:tcPr>
          <w:p w14:paraId="4073360B">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512" w:type="dxa"/>
            <w:tcBorders>
              <w:top w:val="single" w:color="000000" w:sz="4" w:space="0"/>
              <w:left w:val="nil"/>
              <w:bottom w:val="single" w:color="000000" w:sz="4" w:space="0"/>
              <w:right w:val="single" w:color="000000" w:sz="4" w:space="0"/>
            </w:tcBorders>
            <w:noWrap w:val="0"/>
            <w:vAlign w:val="center"/>
          </w:tcPr>
          <w:p w14:paraId="3140F4B4">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sz w:val="24"/>
                <w:szCs w:val="24"/>
              </w:rPr>
            </w:pPr>
          </w:p>
        </w:tc>
      </w:tr>
      <w:tr w14:paraId="7B5CB001">
        <w:tblPrEx>
          <w:tblCellMar>
            <w:top w:w="0" w:type="dxa"/>
            <w:left w:w="108" w:type="dxa"/>
            <w:bottom w:w="0" w:type="dxa"/>
            <w:right w:w="108" w:type="dxa"/>
          </w:tblCellMar>
        </w:tblPrEx>
        <w:trPr>
          <w:trHeight w:val="507"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0B8C1ED7">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EFB3C3B">
            <w:pPr>
              <w:keepNext w:val="0"/>
              <w:keepLines w:val="0"/>
              <w:pageBreakBefore w:val="0"/>
              <w:kinsoku/>
              <w:wordWrap/>
              <w:overflowPunct/>
              <w:topLinePunct w:val="0"/>
              <w:autoSpaceDE/>
              <w:bidi w:val="0"/>
              <w:adjustRightInd/>
              <w:snapToGrid/>
              <w:spacing w:line="600" w:lineRule="exact"/>
              <w:ind w:firstLine="0" w:firstLineChars="0"/>
              <w:jc w:val="left"/>
              <w:rPr>
                <w:rFonts w:hint="default" w:ascii="Times New Roman" w:hAnsi="Times New Roman" w:eastAsia="仿宋_GB2312" w:cs="Times New Roman"/>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4C95F9C">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695" w:type="dxa"/>
            <w:tcBorders>
              <w:top w:val="single" w:color="000000" w:sz="4" w:space="0"/>
              <w:left w:val="nil"/>
              <w:bottom w:val="single" w:color="000000" w:sz="4" w:space="0"/>
              <w:right w:val="single" w:color="000000" w:sz="4" w:space="0"/>
            </w:tcBorders>
            <w:noWrap w:val="0"/>
            <w:vAlign w:val="center"/>
          </w:tcPr>
          <w:p w14:paraId="5EF5A7E2">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512" w:type="dxa"/>
            <w:tcBorders>
              <w:top w:val="single" w:color="000000" w:sz="4" w:space="0"/>
              <w:left w:val="nil"/>
              <w:bottom w:val="single" w:color="000000" w:sz="4" w:space="0"/>
              <w:right w:val="single" w:color="000000" w:sz="4" w:space="0"/>
            </w:tcBorders>
            <w:noWrap w:val="0"/>
            <w:vAlign w:val="center"/>
          </w:tcPr>
          <w:p w14:paraId="0107AACB">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sz w:val="24"/>
                <w:szCs w:val="24"/>
              </w:rPr>
            </w:pPr>
          </w:p>
        </w:tc>
      </w:tr>
      <w:tr w14:paraId="6CF691E2">
        <w:tblPrEx>
          <w:tblCellMar>
            <w:top w:w="0" w:type="dxa"/>
            <w:left w:w="108" w:type="dxa"/>
            <w:bottom w:w="0" w:type="dxa"/>
            <w:right w:w="108" w:type="dxa"/>
          </w:tblCellMar>
        </w:tblPrEx>
        <w:trPr>
          <w:trHeight w:val="507"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4FFE3D27">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5ECC5D2A">
            <w:pPr>
              <w:keepNext w:val="0"/>
              <w:keepLines w:val="0"/>
              <w:pageBreakBefore w:val="0"/>
              <w:kinsoku/>
              <w:wordWrap/>
              <w:overflowPunct/>
              <w:topLinePunct w:val="0"/>
              <w:autoSpaceDE/>
              <w:bidi w:val="0"/>
              <w:adjustRightInd/>
              <w:snapToGrid/>
              <w:spacing w:line="600" w:lineRule="exact"/>
              <w:ind w:firstLine="0" w:firstLineChars="0"/>
              <w:jc w:val="left"/>
              <w:rPr>
                <w:rFonts w:hint="default" w:ascii="Times New Roman" w:hAnsi="Times New Roman" w:eastAsia="仿宋_GB2312" w:cs="Times New Roman"/>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0E3DDE42">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695" w:type="dxa"/>
            <w:tcBorders>
              <w:top w:val="single" w:color="000000" w:sz="4" w:space="0"/>
              <w:left w:val="nil"/>
              <w:bottom w:val="single" w:color="000000" w:sz="4" w:space="0"/>
              <w:right w:val="single" w:color="000000" w:sz="4" w:space="0"/>
            </w:tcBorders>
            <w:noWrap w:val="0"/>
            <w:vAlign w:val="center"/>
          </w:tcPr>
          <w:p w14:paraId="5AC4B0FF">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512" w:type="dxa"/>
            <w:tcBorders>
              <w:top w:val="single" w:color="000000" w:sz="4" w:space="0"/>
              <w:left w:val="nil"/>
              <w:bottom w:val="single" w:color="000000" w:sz="4" w:space="0"/>
              <w:right w:val="single" w:color="000000" w:sz="4" w:space="0"/>
            </w:tcBorders>
            <w:noWrap w:val="0"/>
            <w:vAlign w:val="center"/>
          </w:tcPr>
          <w:p w14:paraId="74C984C9">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sz w:val="24"/>
                <w:szCs w:val="24"/>
              </w:rPr>
            </w:pPr>
          </w:p>
        </w:tc>
      </w:tr>
      <w:tr w14:paraId="453EB1D5">
        <w:tblPrEx>
          <w:tblCellMar>
            <w:top w:w="0" w:type="dxa"/>
            <w:left w:w="108" w:type="dxa"/>
            <w:bottom w:w="0" w:type="dxa"/>
            <w:right w:w="108" w:type="dxa"/>
          </w:tblCellMar>
        </w:tblPrEx>
        <w:trPr>
          <w:trHeight w:val="507"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40E4B18C">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5C1E3DA0">
            <w:pPr>
              <w:keepNext w:val="0"/>
              <w:keepLines w:val="0"/>
              <w:pageBreakBefore w:val="0"/>
              <w:kinsoku/>
              <w:wordWrap/>
              <w:overflowPunct/>
              <w:topLinePunct w:val="0"/>
              <w:autoSpaceDE/>
              <w:bidi w:val="0"/>
              <w:adjustRightInd/>
              <w:snapToGrid/>
              <w:spacing w:line="600" w:lineRule="exact"/>
              <w:ind w:firstLine="0" w:firstLineChars="0"/>
              <w:jc w:val="left"/>
              <w:rPr>
                <w:rFonts w:hint="default" w:ascii="Times New Roman" w:hAnsi="Times New Roman" w:eastAsia="仿宋_GB2312" w:cs="Times New Roman"/>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7EDA4EE">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695" w:type="dxa"/>
            <w:tcBorders>
              <w:top w:val="single" w:color="000000" w:sz="4" w:space="0"/>
              <w:left w:val="nil"/>
              <w:bottom w:val="single" w:color="000000" w:sz="4" w:space="0"/>
              <w:right w:val="single" w:color="000000" w:sz="4" w:space="0"/>
            </w:tcBorders>
            <w:noWrap w:val="0"/>
            <w:vAlign w:val="center"/>
          </w:tcPr>
          <w:p w14:paraId="24D1D2AA">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512" w:type="dxa"/>
            <w:tcBorders>
              <w:top w:val="single" w:color="000000" w:sz="4" w:space="0"/>
              <w:left w:val="nil"/>
              <w:bottom w:val="single" w:color="000000" w:sz="4" w:space="0"/>
              <w:right w:val="single" w:color="000000" w:sz="4" w:space="0"/>
            </w:tcBorders>
            <w:noWrap w:val="0"/>
            <w:vAlign w:val="center"/>
          </w:tcPr>
          <w:p w14:paraId="356BD086">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sz w:val="24"/>
                <w:szCs w:val="24"/>
              </w:rPr>
            </w:pPr>
          </w:p>
        </w:tc>
      </w:tr>
      <w:tr w14:paraId="3E014F3F">
        <w:tblPrEx>
          <w:tblCellMar>
            <w:top w:w="0" w:type="dxa"/>
            <w:left w:w="108" w:type="dxa"/>
            <w:bottom w:w="0" w:type="dxa"/>
            <w:right w:w="108" w:type="dxa"/>
          </w:tblCellMar>
        </w:tblPrEx>
        <w:trPr>
          <w:trHeight w:val="507"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2E6DD605">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9D08A52">
            <w:pPr>
              <w:keepNext w:val="0"/>
              <w:keepLines w:val="0"/>
              <w:pageBreakBefore w:val="0"/>
              <w:kinsoku/>
              <w:wordWrap/>
              <w:overflowPunct/>
              <w:topLinePunct w:val="0"/>
              <w:autoSpaceDE/>
              <w:bidi w:val="0"/>
              <w:adjustRightInd/>
              <w:snapToGrid/>
              <w:spacing w:line="600" w:lineRule="exact"/>
              <w:ind w:firstLine="0" w:firstLineChars="0"/>
              <w:jc w:val="left"/>
              <w:rPr>
                <w:rFonts w:hint="default" w:ascii="Times New Roman" w:hAnsi="Times New Roman" w:eastAsia="仿宋_GB2312" w:cs="Times New Roman"/>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77803E0F">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695" w:type="dxa"/>
            <w:tcBorders>
              <w:top w:val="single" w:color="000000" w:sz="4" w:space="0"/>
              <w:left w:val="nil"/>
              <w:bottom w:val="single" w:color="000000" w:sz="4" w:space="0"/>
              <w:right w:val="single" w:color="000000" w:sz="4" w:space="0"/>
            </w:tcBorders>
            <w:noWrap w:val="0"/>
            <w:vAlign w:val="center"/>
          </w:tcPr>
          <w:p w14:paraId="2E8AE98D">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512" w:type="dxa"/>
            <w:tcBorders>
              <w:top w:val="single" w:color="000000" w:sz="4" w:space="0"/>
              <w:left w:val="nil"/>
              <w:bottom w:val="single" w:color="000000" w:sz="4" w:space="0"/>
              <w:right w:val="single" w:color="000000" w:sz="4" w:space="0"/>
            </w:tcBorders>
            <w:noWrap w:val="0"/>
            <w:vAlign w:val="center"/>
          </w:tcPr>
          <w:p w14:paraId="7090ADD7">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sz w:val="24"/>
                <w:szCs w:val="24"/>
              </w:rPr>
            </w:pPr>
          </w:p>
        </w:tc>
      </w:tr>
      <w:tr w14:paraId="5EA11C8A">
        <w:tblPrEx>
          <w:tblCellMar>
            <w:top w:w="0" w:type="dxa"/>
            <w:left w:w="108" w:type="dxa"/>
            <w:bottom w:w="0" w:type="dxa"/>
            <w:right w:w="108" w:type="dxa"/>
          </w:tblCellMar>
        </w:tblPrEx>
        <w:trPr>
          <w:trHeight w:val="543"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48604B65">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0E17F7A">
            <w:pPr>
              <w:keepNext w:val="0"/>
              <w:keepLines w:val="0"/>
              <w:pageBreakBefore w:val="0"/>
              <w:kinsoku/>
              <w:wordWrap/>
              <w:overflowPunct/>
              <w:topLinePunct w:val="0"/>
              <w:autoSpaceDE/>
              <w:bidi w:val="0"/>
              <w:adjustRightInd/>
              <w:snapToGrid/>
              <w:spacing w:line="600" w:lineRule="exact"/>
              <w:ind w:firstLine="0" w:firstLineChars="0"/>
              <w:jc w:val="left"/>
              <w:rPr>
                <w:rFonts w:hint="default" w:ascii="Times New Roman" w:hAnsi="Times New Roman" w:eastAsia="仿宋_GB2312" w:cs="Times New Roman"/>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4BD6569">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695" w:type="dxa"/>
            <w:tcBorders>
              <w:top w:val="single" w:color="000000" w:sz="4" w:space="0"/>
              <w:left w:val="nil"/>
              <w:bottom w:val="single" w:color="000000" w:sz="4" w:space="0"/>
              <w:right w:val="single" w:color="000000" w:sz="4" w:space="0"/>
            </w:tcBorders>
            <w:noWrap w:val="0"/>
            <w:vAlign w:val="center"/>
          </w:tcPr>
          <w:p w14:paraId="2A712E5A">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512" w:type="dxa"/>
            <w:tcBorders>
              <w:top w:val="single" w:color="000000" w:sz="4" w:space="0"/>
              <w:left w:val="nil"/>
              <w:bottom w:val="single" w:color="000000" w:sz="4" w:space="0"/>
              <w:right w:val="single" w:color="000000" w:sz="4" w:space="0"/>
            </w:tcBorders>
            <w:noWrap w:val="0"/>
            <w:vAlign w:val="center"/>
          </w:tcPr>
          <w:p w14:paraId="59BC6478">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sz w:val="24"/>
                <w:szCs w:val="24"/>
              </w:rPr>
            </w:pPr>
          </w:p>
        </w:tc>
      </w:tr>
      <w:tr w14:paraId="208190B6">
        <w:tblPrEx>
          <w:tblCellMar>
            <w:top w:w="0" w:type="dxa"/>
            <w:left w:w="108" w:type="dxa"/>
            <w:bottom w:w="0" w:type="dxa"/>
            <w:right w:w="108" w:type="dxa"/>
          </w:tblCellMar>
        </w:tblPrEx>
        <w:trPr>
          <w:trHeight w:val="543"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6086D8C0">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3F43E6C5">
            <w:pPr>
              <w:keepNext w:val="0"/>
              <w:keepLines w:val="0"/>
              <w:pageBreakBefore w:val="0"/>
              <w:kinsoku/>
              <w:wordWrap/>
              <w:overflowPunct/>
              <w:topLinePunct w:val="0"/>
              <w:autoSpaceDE/>
              <w:bidi w:val="0"/>
              <w:adjustRightInd/>
              <w:snapToGrid/>
              <w:spacing w:line="600" w:lineRule="exact"/>
              <w:ind w:firstLine="0" w:firstLineChars="0"/>
              <w:jc w:val="left"/>
              <w:rPr>
                <w:rFonts w:hint="default" w:ascii="Times New Roman" w:hAnsi="Times New Roman" w:eastAsia="仿宋_GB2312" w:cs="Times New Roman"/>
                <w:color w:val="auto"/>
                <w:sz w:val="24"/>
                <w:szCs w:val="24"/>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DE2EB6C">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695" w:type="dxa"/>
            <w:tcBorders>
              <w:top w:val="single" w:color="000000" w:sz="4" w:space="0"/>
              <w:left w:val="nil"/>
              <w:bottom w:val="single" w:color="000000" w:sz="4" w:space="0"/>
              <w:right w:val="single" w:color="000000" w:sz="4" w:space="0"/>
            </w:tcBorders>
            <w:noWrap w:val="0"/>
            <w:vAlign w:val="center"/>
          </w:tcPr>
          <w:p w14:paraId="1832565A">
            <w:pPr>
              <w:keepNext w:val="0"/>
              <w:keepLines w:val="0"/>
              <w:pageBreakBefore w:val="0"/>
              <w:kinsoku/>
              <w:wordWrap/>
              <w:overflowPunct/>
              <w:topLinePunct w:val="0"/>
              <w:autoSpaceDE/>
              <w:bidi w:val="0"/>
              <w:adjustRightInd/>
              <w:snapToGrid/>
              <w:spacing w:line="600" w:lineRule="exact"/>
              <w:ind w:firstLine="0" w:firstLineChars="0"/>
              <w:jc w:val="center"/>
              <w:rPr>
                <w:rFonts w:hint="default" w:ascii="Times New Roman" w:hAnsi="Times New Roman" w:eastAsia="仿宋_GB2312" w:cs="Times New Roman"/>
                <w:color w:val="auto"/>
                <w:sz w:val="24"/>
                <w:szCs w:val="24"/>
              </w:rPr>
            </w:pPr>
          </w:p>
        </w:tc>
        <w:tc>
          <w:tcPr>
            <w:tcW w:w="1512" w:type="dxa"/>
            <w:tcBorders>
              <w:top w:val="single" w:color="000000" w:sz="4" w:space="0"/>
              <w:left w:val="nil"/>
              <w:bottom w:val="single" w:color="000000" w:sz="4" w:space="0"/>
              <w:right w:val="single" w:color="000000" w:sz="4" w:space="0"/>
            </w:tcBorders>
            <w:noWrap w:val="0"/>
            <w:vAlign w:val="center"/>
          </w:tcPr>
          <w:p w14:paraId="6988A8ED">
            <w:pPr>
              <w:keepNext w:val="0"/>
              <w:keepLines w:val="0"/>
              <w:pageBreakBefore w:val="0"/>
              <w:kinsoku/>
              <w:wordWrap/>
              <w:overflowPunct/>
              <w:topLinePunct w:val="0"/>
              <w:autoSpaceDE/>
              <w:bidi w:val="0"/>
              <w:adjustRightInd/>
              <w:snapToGrid/>
              <w:spacing w:line="600" w:lineRule="exact"/>
              <w:ind w:firstLine="0" w:firstLineChars="0"/>
              <w:rPr>
                <w:rFonts w:hint="default" w:ascii="Times New Roman" w:hAnsi="Times New Roman" w:eastAsia="仿宋_GB2312" w:cs="Times New Roman"/>
                <w:color w:val="auto"/>
                <w:sz w:val="24"/>
                <w:szCs w:val="24"/>
              </w:rPr>
            </w:pPr>
          </w:p>
        </w:tc>
      </w:tr>
    </w:tbl>
    <w:p w14:paraId="3DF427EE">
      <w:bookmarkStart w:id="0" w:name="_GoBack"/>
      <w:bookmarkEnd w:id="0"/>
    </w:p>
    <w:sectPr>
      <w:footerReference r:id="rId3" w:type="default"/>
      <w:pgSz w:w="11906" w:h="16838"/>
      <w:pgMar w:top="2098" w:right="124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740C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154EBB">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1154EBB">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64BD5B94"/>
    <w:rsid w:val="64BD5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2026-01-28T03:40:00Z</dcterms:created>
  <dc:creator>杨祖德</dc:creator>
  <cp:lastModifiedBy>杨祖德</cp:lastModifiedBy>
  <dcterms:modified xsi:type="dcterms:W3CDTF">2026-01-28T03:40:46Z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02780A540A2E4FD4BB0644233F2B5D47_11</vt:lpwstr>
  </property>
</Properties>
</file>