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48C7B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77" w:lineRule="auto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606ABD51">
      <w:pPr>
        <w:pStyle w:val="2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4D640B1F">
      <w:pPr>
        <w:pStyle w:val="2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28EB66E2">
      <w:pPr>
        <w:pStyle w:val="2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1B3ABAE2">
      <w:pPr>
        <w:pStyle w:val="2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4BF71769">
      <w:pPr>
        <w:pStyle w:val="2"/>
        <w:rPr>
          <w:rFonts w:hint="eastAsia" w:ascii="Times New Roman" w:hAnsi="Times New Roman" w:eastAsia="宋体" w:cs="Times New Roman"/>
          <w:sz w:val="21"/>
          <w:lang w:val="en-US" w:eastAsia="zh-CN"/>
        </w:rPr>
      </w:pPr>
    </w:p>
    <w:p w14:paraId="7167D5A7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77" w:lineRule="auto"/>
        <w:rPr>
          <w:rFonts w:hint="default" w:ascii="Times New Roman" w:hAnsi="Times New Roman" w:cs="Times New Roman"/>
          <w:sz w:val="21"/>
        </w:rPr>
      </w:pPr>
    </w:p>
    <w:p w14:paraId="2654D870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78" w:lineRule="auto"/>
        <w:rPr>
          <w:rFonts w:hint="default" w:ascii="Times New Roman" w:hAnsi="Times New Roman" w:cs="Times New Roman"/>
          <w:sz w:val="21"/>
        </w:rPr>
      </w:pPr>
    </w:p>
    <w:p w14:paraId="20165D11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78" w:lineRule="auto"/>
        <w:rPr>
          <w:rFonts w:hint="default" w:ascii="Times New Roman" w:hAnsi="Times New Roman" w:cs="Times New Roman"/>
          <w:sz w:val="21"/>
        </w:rPr>
      </w:pPr>
    </w:p>
    <w:p w14:paraId="1E77DE9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2" w:lineRule="auto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</w:rPr>
        <w:t>湖南省水利厅办公室关于开展</w:t>
      </w:r>
      <w:r>
        <w:rPr>
          <w:rFonts w:hint="default" w:ascii="Times New Roman" w:hAnsi="Times New Roman" w:eastAsia="宋体" w:cs="Times New Roman"/>
          <w:b w:val="0"/>
          <w:bCs w:val="0"/>
          <w:spacing w:val="6"/>
          <w:position w:val="18"/>
          <w:sz w:val="41"/>
          <w:szCs w:val="41"/>
          <w:lang w:val="en-US" w:eastAsia="zh-CN"/>
        </w:rPr>
        <w:t>2006</w:t>
      </w:r>
      <w:r>
        <w:rPr>
          <w:rFonts w:hint="eastAsia" w:ascii="Times New Roman" w:hAnsi="Times New Roman" w:eastAsia="宋体" w:cs="Times New Roman"/>
          <w:b w:val="0"/>
          <w:bCs w:val="0"/>
          <w:spacing w:val="6"/>
          <w:position w:val="18"/>
          <w:sz w:val="41"/>
          <w:szCs w:val="41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b w:val="0"/>
          <w:bCs w:val="0"/>
          <w:spacing w:val="6"/>
          <w:position w:val="18"/>
          <w:sz w:val="41"/>
          <w:szCs w:val="41"/>
          <w:lang w:val="en-US" w:eastAsia="zh-CN"/>
        </w:rPr>
        <w:t>2024</w:t>
      </w:r>
      <w:r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  <w:lang w:val="en-US" w:eastAsia="zh-CN"/>
        </w:rPr>
        <w:t>年</w:t>
      </w:r>
    </w:p>
    <w:p w14:paraId="0C5D104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2" w:lineRule="auto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  <w:lang w:eastAsia="zh-CN"/>
        </w:rPr>
        <w:t>大中型水库移民后期扶持政策实施情况</w:t>
      </w:r>
    </w:p>
    <w:p w14:paraId="42660F0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2" w:lineRule="auto"/>
        <w:ind w:firstLine="0" w:firstLineChars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</w:rPr>
      </w:pPr>
      <w:r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  <w:lang w:eastAsia="zh-CN"/>
        </w:rPr>
        <w:t>总结梳理</w:t>
      </w:r>
      <w:r>
        <w:rPr>
          <w:rFonts w:hint="eastAsia" w:ascii="Times New Roman" w:hAnsi="Times New Roman" w:eastAsia="宋体" w:cs="Times New Roman"/>
          <w:b/>
          <w:bCs/>
          <w:spacing w:val="6"/>
          <w:position w:val="18"/>
          <w:sz w:val="41"/>
          <w:szCs w:val="41"/>
          <w:lang w:eastAsia="zh-CN"/>
        </w:rPr>
        <w:t>工作</w:t>
      </w:r>
      <w:r>
        <w:rPr>
          <w:rFonts w:hint="default" w:ascii="Times New Roman" w:hAnsi="Times New Roman" w:eastAsia="宋体" w:cs="Times New Roman"/>
          <w:b/>
          <w:bCs/>
          <w:spacing w:val="6"/>
          <w:position w:val="18"/>
          <w:sz w:val="41"/>
          <w:szCs w:val="41"/>
        </w:rPr>
        <w:t>的通知</w:t>
      </w:r>
    </w:p>
    <w:p w14:paraId="2A5C56D5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62" w:lineRule="auto"/>
        <w:jc w:val="both"/>
        <w:rPr>
          <w:rFonts w:hint="default" w:ascii="Times New Roman" w:hAnsi="Times New Roman" w:cs="Times New Roman"/>
          <w:sz w:val="21"/>
        </w:rPr>
      </w:pPr>
    </w:p>
    <w:p w14:paraId="3F08BD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各市州、县市区水行政主管部门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水库移民管理机构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），财政局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8010F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为深入贯彻落实《水利部办公厅关于印发2025年水库移民工作要点的通知》（办移民〔2025〕67号）等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切实做好我省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2006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2024年大中型水库移民后期扶持政策实施梳理总结工作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现就有关事项通知如下：</w:t>
      </w:r>
    </w:p>
    <w:p w14:paraId="135EF2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6" w:line="221" w:lineRule="auto"/>
        <w:ind w:left="624" w:leftChars="0"/>
        <w:jc w:val="both"/>
        <w:outlineLvl w:val="0"/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eastAsia="zh-CN"/>
        </w:rPr>
        <w:t>工作</w:t>
      </w: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意义</w:t>
      </w:r>
    </w:p>
    <w:p w14:paraId="1DFB4A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梳理总结工作坚持问题导向与目标导向相结合，围绕移民后期扶持政策实施二十年来的目标任务完成情况，系统开展“全链条、全周期”的梳理分析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旨在构建资金项目全流程闭环管理体系，筑牢资金安全防线，切实保障移民群众合法权益。同时，以梳理总结为契机，提炼典型经验做法，为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下一步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完善政策实施长效机制，推动全省水库移民工作高质量发展提供坚实保障。</w:t>
      </w:r>
    </w:p>
    <w:p w14:paraId="203FBB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6" w:line="221" w:lineRule="auto"/>
        <w:ind w:left="624" w:leftChars="0"/>
        <w:jc w:val="both"/>
        <w:outlineLvl w:val="0"/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eastAsia="zh-CN"/>
        </w:rPr>
        <w:t>工作</w:t>
      </w:r>
      <w:r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任务</w:t>
      </w:r>
    </w:p>
    <w:p w14:paraId="737677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重点聚焦三大核心任务：一是以县为主体，全面梳理2006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2024年大中型水库移民后期扶持资金使用和项目实施情况，进一步完善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后期扶持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项目资产管理台账；二是强化资金监管效能，重点核查直补资金发放精准度，深入剖析避险解困、美丽家园建设、产业发展项目、农村供水“三化建设”等专项资金项目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执行情况；三是深入排查政策执行中存在的问题，对发现的问题实行“清单式”整改，确保立行立改、见底清零。</w:t>
      </w:r>
    </w:p>
    <w:p w14:paraId="3CBFC7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6" w:line="221" w:lineRule="auto"/>
        <w:ind w:left="624" w:leftChars="0"/>
        <w:jc w:val="both"/>
        <w:outlineLvl w:val="0"/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eastAsia="zh-CN"/>
        </w:rPr>
        <w:t>工作</w:t>
      </w:r>
      <w:r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  <w:lang w:eastAsia="zh-CN"/>
        </w:rPr>
        <w:t>对象</w:t>
      </w:r>
    </w:p>
    <w:p w14:paraId="7EAACF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（一）时间范围</w:t>
      </w:r>
    </w:p>
    <w:p w14:paraId="5CB144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总结梳理年度：2006—2024年度，按年度统计；</w:t>
      </w:r>
    </w:p>
    <w:p w14:paraId="153F7A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资金拨付及项目实施情况截至时间：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12月31日。</w:t>
      </w:r>
    </w:p>
    <w:p w14:paraId="0E0C6B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（二）地域范围</w:t>
      </w:r>
    </w:p>
    <w:p w14:paraId="25BE51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移民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后期扶持任务所涉及的长沙市、株洲市、湘潭市、衡阳市、邵阳市、岳阳市、常德市、张家界市、益阳市、永州市、郴州市、娄底市、怀化市及湘西自治州共14个市州122个县市区。</w:t>
      </w:r>
    </w:p>
    <w:p w14:paraId="5E78B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对象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</w:t>
      </w:r>
    </w:p>
    <w:p w14:paraId="209A0E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对象范围：包括直补对象、后期扶持资金、后期扶持项目。</w:t>
      </w:r>
    </w:p>
    <w:p w14:paraId="71D38D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资金范围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涉及中央水库移民扶持基金（含一般公共预算）和地方水库移民扶持资金（包括大中型水库库区基金、小型水库移民扶助基金、其他政府性资金）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。重点关注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避险解困、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美丽家园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产业发展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农村供水“三化建设”等四个专项后期扶持资金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104C7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6" w:line="221" w:lineRule="auto"/>
        <w:ind w:left="624" w:leftChars="0"/>
        <w:jc w:val="both"/>
        <w:outlineLvl w:val="0"/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</w:rPr>
      </w:pP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eastAsia="zh-CN"/>
        </w:rPr>
        <w:t>工作主要</w:t>
      </w:r>
      <w:r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</w:rPr>
        <w:t>内容</w:t>
      </w:r>
    </w:p>
    <w:p w14:paraId="083D86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以中央和省级后期扶持政策文件为依据，全面梳理全省2006—2024年度移民后期扶持政策实施情况工作，主要内容如下：</w:t>
      </w:r>
    </w:p>
    <w:p w14:paraId="1BBE66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（一）2006—2024年度全省后期扶持政策实施总体情况</w:t>
      </w:r>
    </w:p>
    <w:p w14:paraId="715905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主要包括大中型水库移民后期扶持直补资金精准发放情况；后期扶持资金拨付使用和管理情况；后期扶持项目实施和管理；后期扶持项目资产监管等情况；查找问题和不足，</w:t>
      </w:r>
      <w:bookmarkStart w:id="0" w:name="OLE_LINK41"/>
      <w:bookmarkStart w:id="1" w:name="OLE_LINK31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提出针对性对策措施，</w:t>
      </w:r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立行立改</w:t>
      </w:r>
      <w:bookmarkEnd w:id="1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16772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39"/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（二）2006—2024年度</w:t>
      </w:r>
      <w:bookmarkStart w:id="3" w:name="OLE_LINK38"/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四个专项资金和项目执行情况</w:t>
      </w:r>
      <w:bookmarkEnd w:id="2"/>
    </w:p>
    <w:bookmarkEnd w:id="3"/>
    <w:p w14:paraId="0750F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梳理2006—2024年度避险解困、美丽家园建设、</w:t>
      </w:r>
      <w:bookmarkStart w:id="4" w:name="OLE_LINK9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产业发展、农村供水“三化建设”</w:t>
      </w:r>
      <w:bookmarkEnd w:id="4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等四个专项资金和项目执行情况，包括项目实施、资金拨付使用管理、项目管理等方面，</w:t>
      </w:r>
      <w:bookmarkStart w:id="5" w:name="OLE_LINK10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查找问题和不足，提出针对性对策措施，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立行立改</w:t>
      </w:r>
      <w:bookmarkEnd w:id="5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76CE1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OLE_LINK12"/>
      <w:bookmarkStart w:id="7" w:name="OLE_LINK13"/>
      <w:bookmarkStart w:id="8" w:name="OLE_LINK14"/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（三）主要经验做法</w:t>
      </w:r>
      <w:bookmarkEnd w:id="6"/>
    </w:p>
    <w:p w14:paraId="6892F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聚焦库区和移民安置区持续巩固拓展脱贫攻坚成果、有效衔接推进乡村全面振兴、移民增收致富等方面，围绕</w:t>
      </w:r>
      <w:bookmarkStart w:id="9" w:name="OLE_LINK44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避险解困、产业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、美丽家园建设、</w:t>
      </w:r>
      <w:bookmarkEnd w:id="9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“三化建设”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方面，全面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总结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全省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水库移民后期扶持经验</w:t>
      </w:r>
    </w:p>
    <w:p w14:paraId="7844C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做法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提炼典型经验做法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有效制度和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创新模式，展示后期扶持政策实施成效，</w:t>
      </w:r>
      <w:bookmarkEnd w:id="7"/>
      <w:bookmarkStart w:id="10" w:name="OLE_LINK32"/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推动水库移民工作可持续发展。</w:t>
      </w:r>
    </w:p>
    <w:bookmarkEnd w:id="8"/>
    <w:bookmarkEnd w:id="10"/>
    <w:p w14:paraId="2D3C4F5B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33" w:line="221" w:lineRule="auto"/>
        <w:ind w:left="644"/>
        <w:jc w:val="both"/>
        <w:outlineLvl w:val="0"/>
        <w:rPr>
          <w:rFonts w:hint="default" w:ascii="Times New Roman" w:hAnsi="Times New Roman" w:eastAsia="黑体" w:cs="Times New Roman"/>
          <w:sz w:val="29"/>
          <w:szCs w:val="29"/>
        </w:rPr>
      </w:pPr>
      <w:r>
        <w:rPr>
          <w:rFonts w:hint="eastAsia" w:ascii="Times New Roman" w:hAnsi="Times New Roman" w:eastAsia="黑体" w:cs="Times New Roman"/>
          <w:b/>
          <w:bCs/>
          <w:spacing w:val="-4"/>
          <w:sz w:val="29"/>
          <w:szCs w:val="29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bCs/>
          <w:spacing w:val="-4"/>
          <w:sz w:val="29"/>
          <w:szCs w:val="29"/>
        </w:rPr>
        <w:t>、时间与工作步骤</w:t>
      </w:r>
    </w:p>
    <w:p w14:paraId="65B648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（一）组织培训</w:t>
      </w:r>
    </w:p>
    <w:p w14:paraId="2F4C7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上旬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厅移民处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州开展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培训。</w:t>
      </w:r>
    </w:p>
    <w:p w14:paraId="21D0FD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（二）市州梳理资金</w:t>
      </w:r>
    </w:p>
    <w:p w14:paraId="2DD8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8月底前，各市州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照省级资金分解下达文件，逐项查找市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州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预算分解下达文件，确定到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的预算资金量。</w:t>
      </w:r>
    </w:p>
    <w:p w14:paraId="27B1DB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（三）县级梳理总结</w:t>
      </w:r>
    </w:p>
    <w:p w14:paraId="20237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9~10月中旬，各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按照附件1系列表格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，开展梳理总结工作，包括填写相关表格，查找问题，编制县级梳理总结报告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D7087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（四）市级审核汇总</w:t>
      </w:r>
    </w:p>
    <w:p w14:paraId="7DA71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10月中下旬，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各市州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按照附件2系列表格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收集、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审核并汇总相关表格，编制市州梳理总结报告。</w:t>
      </w:r>
    </w:p>
    <w:p w14:paraId="632FF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（五）省级审核汇总</w:t>
      </w:r>
    </w:p>
    <w:p w14:paraId="43B0D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，完成省级数据汇总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编制专项报告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5604AD9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31" w:line="222" w:lineRule="auto"/>
        <w:ind w:left="604"/>
        <w:jc w:val="both"/>
        <w:outlineLvl w:val="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bCs/>
          <w:spacing w:val="-24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bCs/>
          <w:spacing w:val="-24"/>
          <w:sz w:val="30"/>
          <w:szCs w:val="30"/>
        </w:rPr>
        <w:t>、有关要求</w:t>
      </w:r>
    </w:p>
    <w:p w14:paraId="70F3D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本项工作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省水利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厅移民处会同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省财政厅农业处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组织实施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水行政主管部门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水库移民管理机构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）和财政部门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要高度重视，切实落实工作责任，配齐专业力量，周密部署安排年度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梳理总结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，定期反馈工作进度。</w:t>
      </w:r>
    </w:p>
    <w:p w14:paraId="5A332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各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水行政主管部门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水库移民管理机构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）可聘请第三方技术单位对梳理总结工作进行技术咨询。</w:t>
      </w:r>
    </w:p>
    <w:p w14:paraId="36119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县市区水行政主管部门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水库移民管理机构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要积极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开展梳理总结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按时填报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梳理总结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统计表格等资料，认真准备规划计划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项目档案、财务账表、会计凭证等资料，确保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梳理总结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工作顺利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完成。</w:t>
      </w:r>
    </w:p>
    <w:p w14:paraId="001E0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 坚持问题导向，深入查找，精准定性，切实强化发现问题的整改落实，建立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梳理总结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问题清单和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分级分类、责任到人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的整改台账，以问题推动开展自查自纠行动。</w:t>
      </w:r>
    </w:p>
    <w:p w14:paraId="0E656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.各市州水利局要结合实际，组织好本级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梳理总结工作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按时完成汇总表格和总结报告，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底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纸质版及电子版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报送省水利厅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和财政厅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63F8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</w:p>
    <w:p w14:paraId="17CC1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9B91D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附件1.2006—2024年县级后期扶持政策实施情况总结梳理表</w:t>
      </w:r>
    </w:p>
    <w:p w14:paraId="39288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附件2.2006—2024年市级后期扶持政策实施情况总结梳理表</w:t>
      </w:r>
    </w:p>
    <w:p w14:paraId="51CCB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1DEB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8E38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3080" w:firstLineChars="11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湖南省水利厅办公室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湖南省财政厅办公室</w:t>
      </w:r>
    </w:p>
    <w:p w14:paraId="26777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760" w:firstLineChars="17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11" w:name="_GoBack"/>
      <w:bookmarkEnd w:id="11"/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5" w:type="default"/>
      <w:pgSz w:w="11900" w:h="16840"/>
      <w:pgMar w:top="1431" w:right="1661" w:bottom="1960" w:left="1509" w:header="0" w:footer="166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B1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214FE">
    <w:pPr>
      <w:spacing w:line="18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D04ED"/>
    <w:rsid w:val="051536FE"/>
    <w:rsid w:val="0A4913A3"/>
    <w:rsid w:val="0A4F320E"/>
    <w:rsid w:val="0C2661F0"/>
    <w:rsid w:val="0D3112F1"/>
    <w:rsid w:val="20771C65"/>
    <w:rsid w:val="258E0C37"/>
    <w:rsid w:val="2EE0671F"/>
    <w:rsid w:val="4EB06665"/>
    <w:rsid w:val="4FFA6D45"/>
    <w:rsid w:val="5A4023DF"/>
    <w:rsid w:val="710870BC"/>
    <w:rsid w:val="71A30B93"/>
    <w:rsid w:val="FF7F8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Balloon Text"/>
    <w:basedOn w:val="1"/>
    <w:next w:val="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2055</Words>
  <Characters>2156</Characters>
  <TotalTime>5</TotalTime>
  <ScaleCrop>false</ScaleCrop>
  <LinksUpToDate>false</LinksUpToDate>
  <CharactersWithSpaces>2159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2023-07-18T22:39:00Z</dcterms:created>
  <dc:creator>Kingsoft-PDF</dc:creator>
  <cp:lastModifiedBy>ymzx2501</cp:lastModifiedBy>
  <dcterms:modified xsi:type="dcterms:W3CDTF">2025-11-17T11:49:50Z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2023-07-18T14:39:44Z</vt:filetime>
  </property>
  <property fmtid="{D5CDD505-2E9C-101B-9397-08002B2CF9AE}" pid="4" name="UsrData">
    <vt:lpwstr>64b633a5423552001fb6bb17</vt:lpwstr>
  </property>
  <property fmtid="{D5CDD505-2E9C-101B-9397-08002B2CF9AE}" pid="5" name="KSOTemplateDocerSaveRecord">
    <vt:lpwstr>eyJoZGlkIjoiYWJmNTAxYTA0NTllZTU0OWY5NWY0MWNlMzBjNGU2OTYiLCJ1c2VySWQiOiI0MzQxNjYxMDIifQ==</vt:lpwstr>
  </property>
  <property fmtid="{D5CDD505-2E9C-101B-9397-08002B2CF9AE}" pid="6" name="KSOProductBuildVer">
    <vt:lpwstr>2052-12.8.2.1119</vt:lpwstr>
  </property>
  <property fmtid="{D5CDD505-2E9C-101B-9397-08002B2CF9AE}" pid="7" name="ICV">
    <vt:lpwstr>7542188FB273403192D7B8C857B8A8CC_12</vt:lpwstr>
  </property>
</Properties>
</file>