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AFC2C">
      <w:pPr>
        <w:pStyle w:val="13"/>
        <w:jc w:val="both"/>
        <w:rPr>
          <w:rFonts w:hAnsi="黑体"/>
          <w:sz w:val="36"/>
          <w:szCs w:val="36"/>
        </w:rPr>
      </w:pPr>
      <w:r>
        <w:rPr>
          <w:rFonts w:hint="eastAsia" w:hAnsi="黑体"/>
          <w:sz w:val="36"/>
          <w:szCs w:val="36"/>
        </w:rPr>
        <w:t>附件1</w:t>
      </w:r>
    </w:p>
    <w:p w14:paraId="4DF99991">
      <w:pPr>
        <w:pStyle w:val="13"/>
        <w:jc w:val="center"/>
        <w:rPr>
          <w:rFonts w:ascii="Times New Roman" w:hAnsi="Times New Roman" w:cs="Times New Roman"/>
          <w:sz w:val="56"/>
          <w:szCs w:val="56"/>
        </w:rPr>
      </w:pPr>
    </w:p>
    <w:p w14:paraId="501405DC">
      <w:pPr>
        <w:pStyle w:val="13"/>
        <w:jc w:val="center"/>
        <w:rPr>
          <w:rFonts w:ascii="Times New Roman" w:hAnsi="Times New Roman" w:cs="Times New Roman"/>
          <w:sz w:val="84"/>
          <w:szCs w:val="84"/>
        </w:rPr>
      </w:pPr>
    </w:p>
    <w:p w14:paraId="0DFCCBE3">
      <w:pPr>
        <w:pStyle w:val="13"/>
        <w:jc w:val="center"/>
        <w:rPr>
          <w:rFonts w:ascii="Times New Roman" w:hAnsi="Times New Roman" w:cs="Times New Roman"/>
          <w:sz w:val="84"/>
          <w:szCs w:val="84"/>
        </w:rPr>
      </w:pPr>
    </w:p>
    <w:p w14:paraId="60D176DE">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08BE42A7">
      <w:pPr>
        <w:pStyle w:val="13"/>
        <w:jc w:val="center"/>
        <w:rPr>
          <w:rFonts w:hint="eastAsia" w:ascii="Times New Roman" w:hAnsi="Times New Roman" w:eastAsia="方正小标宋简体" w:cs="Times New Roman"/>
          <w:sz w:val="72"/>
          <w:szCs w:val="72"/>
          <w:lang w:val="en-US" w:eastAsia="zh-CN"/>
        </w:rPr>
      </w:pPr>
      <w:r>
        <w:rPr>
          <w:rFonts w:hint="eastAsia" w:ascii="Times New Roman" w:hAnsi="Times New Roman" w:eastAsia="方正小标宋简体" w:cs="Times New Roman"/>
          <w:sz w:val="72"/>
          <w:szCs w:val="72"/>
          <w:lang w:val="en-US" w:eastAsia="zh-CN"/>
        </w:rPr>
        <w:t>沅江市法律援助中心</w:t>
      </w:r>
    </w:p>
    <w:p w14:paraId="2FC5CE09">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14:paraId="14252D8E">
      <w:pPr>
        <w:pStyle w:val="13"/>
        <w:jc w:val="center"/>
        <w:rPr>
          <w:rFonts w:ascii="Times New Roman" w:hAnsi="Times New Roman" w:eastAsia="方正小标宋_GBK" w:cs="Times New Roman"/>
          <w:sz w:val="56"/>
          <w:szCs w:val="56"/>
        </w:rPr>
      </w:pPr>
    </w:p>
    <w:p w14:paraId="19475F08">
      <w:pPr>
        <w:pStyle w:val="13"/>
        <w:jc w:val="center"/>
        <w:rPr>
          <w:rFonts w:ascii="Times New Roman" w:hAnsi="Times New Roman" w:cs="Times New Roman"/>
          <w:sz w:val="56"/>
          <w:szCs w:val="56"/>
        </w:rPr>
      </w:pPr>
    </w:p>
    <w:p w14:paraId="42548FFD">
      <w:pPr>
        <w:pStyle w:val="13"/>
        <w:rPr>
          <w:rFonts w:ascii="Times New Roman" w:hAnsi="Times New Roman" w:cs="Times New Roman"/>
          <w:sz w:val="56"/>
          <w:szCs w:val="56"/>
        </w:rPr>
      </w:pPr>
    </w:p>
    <w:p w14:paraId="48D49827">
      <w:pPr>
        <w:pStyle w:val="13"/>
        <w:jc w:val="center"/>
        <w:rPr>
          <w:rFonts w:ascii="Times New Roman" w:hAnsi="Times New Roman" w:cs="Times New Roman"/>
          <w:sz w:val="32"/>
          <w:szCs w:val="32"/>
        </w:rPr>
      </w:pPr>
    </w:p>
    <w:p w14:paraId="3EC831D9">
      <w:pPr>
        <w:pStyle w:val="13"/>
        <w:jc w:val="center"/>
        <w:rPr>
          <w:rFonts w:ascii="Times New Roman" w:hAnsi="Times New Roman" w:cs="Times New Roman"/>
          <w:sz w:val="32"/>
          <w:szCs w:val="32"/>
        </w:rPr>
      </w:pPr>
    </w:p>
    <w:p w14:paraId="3A0B24CB">
      <w:pPr>
        <w:pStyle w:val="13"/>
        <w:jc w:val="center"/>
        <w:rPr>
          <w:rFonts w:ascii="Times New Roman" w:hAnsi="Times New Roman" w:cs="Times New Roman"/>
          <w:sz w:val="32"/>
          <w:szCs w:val="32"/>
        </w:rPr>
      </w:pPr>
    </w:p>
    <w:p w14:paraId="1F025058">
      <w:pPr>
        <w:pStyle w:val="13"/>
        <w:jc w:val="center"/>
        <w:rPr>
          <w:rFonts w:ascii="Times New Roman" w:hAnsi="Times New Roman" w:cs="Times New Roman"/>
          <w:sz w:val="32"/>
          <w:szCs w:val="32"/>
        </w:rPr>
      </w:pPr>
    </w:p>
    <w:p w14:paraId="1F5E0236">
      <w:pPr>
        <w:pStyle w:val="13"/>
        <w:jc w:val="center"/>
        <w:rPr>
          <w:rFonts w:ascii="Times New Roman" w:hAnsi="Times New Roman" w:cs="Times New Roman"/>
          <w:sz w:val="32"/>
          <w:szCs w:val="32"/>
        </w:rPr>
      </w:pPr>
    </w:p>
    <w:p w14:paraId="644F1627">
      <w:pPr>
        <w:pStyle w:val="13"/>
        <w:jc w:val="center"/>
        <w:rPr>
          <w:rFonts w:ascii="Times New Roman" w:hAnsi="Times New Roman" w:cs="Times New Roman"/>
          <w:sz w:val="32"/>
          <w:szCs w:val="32"/>
        </w:rPr>
      </w:pPr>
    </w:p>
    <w:p w14:paraId="2C771705">
      <w:pPr>
        <w:pStyle w:val="13"/>
        <w:spacing w:line="540" w:lineRule="exact"/>
        <w:jc w:val="center"/>
        <w:rPr>
          <w:rFonts w:ascii="Times New Roman" w:hAnsi="Times New Roman" w:cs="Times New Roman"/>
          <w:sz w:val="56"/>
          <w:szCs w:val="56"/>
        </w:rPr>
      </w:pPr>
    </w:p>
    <w:p w14:paraId="7882F591">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1DE8B851">
      <w:pPr>
        <w:pStyle w:val="13"/>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6CB0CD6B">
      <w:pPr>
        <w:pStyle w:val="13"/>
        <w:spacing w:line="600" w:lineRule="exact"/>
        <w:jc w:val="both"/>
        <w:rPr>
          <w:rFonts w:ascii="Times New Roman" w:hAnsi="Times New Roman" w:cs="Times New Roman"/>
          <w:b/>
          <w:sz w:val="36"/>
          <w:szCs w:val="28"/>
        </w:rPr>
      </w:pPr>
    </w:p>
    <w:p w14:paraId="6D506343">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4CB8CD99">
      <w:pPr>
        <w:pStyle w:val="13"/>
        <w:spacing w:line="600" w:lineRule="exact"/>
        <w:jc w:val="center"/>
        <w:rPr>
          <w:rFonts w:ascii="Times New Roman" w:hAnsi="Times New Roman" w:cs="Times New Roman"/>
          <w:b/>
          <w:sz w:val="36"/>
          <w:szCs w:val="28"/>
        </w:rPr>
      </w:pPr>
    </w:p>
    <w:p w14:paraId="21182657">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沅江市法律援助中心</w:t>
      </w:r>
      <w:r>
        <w:rPr>
          <w:rFonts w:ascii="Times New Roman" w:hAnsi="Times New Roman" w:cs="Times New Roman"/>
          <w:bCs/>
          <w:sz w:val="32"/>
          <w:szCs w:val="32"/>
        </w:rPr>
        <w:t>概况</w:t>
      </w:r>
    </w:p>
    <w:p w14:paraId="4B9CE96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35E6126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4EC3D4B1">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67BBC2D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419AF5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BF46D1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6817692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417EDED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38B11AC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03F6A31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5194477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E7D247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50D80C4E">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377D0B9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40BB0BED">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88121B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6892CA8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408E064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78C93A60">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772CE74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51BBA67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679C21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27A3B09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7B0F743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0741CD4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46AF883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24C9D8E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749BC97E">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34CD6EA0">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30242946">
      <w:pPr>
        <w:pStyle w:val="13"/>
        <w:spacing w:line="600" w:lineRule="exact"/>
        <w:rPr>
          <w:rFonts w:ascii="Times New Roman" w:hAnsi="Times New Roman" w:cs="Times New Roman"/>
          <w:bCs/>
          <w:sz w:val="28"/>
          <w:szCs w:val="28"/>
        </w:rPr>
      </w:pPr>
    </w:p>
    <w:p w14:paraId="255810A4">
      <w:pPr>
        <w:jc w:val="center"/>
        <w:rPr>
          <w:rFonts w:ascii="Times New Roman" w:hAnsi="Times New Roman" w:cs="Times New Roman"/>
          <w:sz w:val="72"/>
          <w:szCs w:val="72"/>
        </w:rPr>
      </w:pPr>
    </w:p>
    <w:p w14:paraId="17ABCA91">
      <w:pPr>
        <w:jc w:val="center"/>
        <w:rPr>
          <w:rFonts w:ascii="Times New Roman" w:hAnsi="Times New Roman" w:cs="Times New Roman"/>
          <w:sz w:val="72"/>
          <w:szCs w:val="72"/>
        </w:rPr>
      </w:pPr>
    </w:p>
    <w:p w14:paraId="6B64B872">
      <w:pPr>
        <w:jc w:val="center"/>
        <w:rPr>
          <w:rFonts w:ascii="Times New Roman" w:hAnsi="Times New Roman" w:cs="Times New Roman"/>
          <w:sz w:val="72"/>
          <w:szCs w:val="72"/>
        </w:rPr>
      </w:pPr>
    </w:p>
    <w:p w14:paraId="739AB67E">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03D976BF">
      <w:pPr>
        <w:rPr>
          <w:rFonts w:ascii="Times New Roman" w:hAnsi="Times New Roman" w:eastAsia="方正小标宋_GBK" w:cs="Times New Roman"/>
          <w:sz w:val="72"/>
          <w:szCs w:val="72"/>
        </w:rPr>
      </w:pPr>
    </w:p>
    <w:p w14:paraId="621FA120">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0C1DEB2">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沅江市法律援助中心</w:t>
      </w:r>
      <w:r>
        <w:rPr>
          <w:rFonts w:ascii="Times New Roman" w:hAnsi="Times New Roman" w:eastAsia="方正小标宋_GBK" w:cs="Times New Roman"/>
          <w:sz w:val="52"/>
          <w:szCs w:val="52"/>
        </w:rPr>
        <w:t>概况</w:t>
      </w:r>
    </w:p>
    <w:p w14:paraId="7B1A84F8">
      <w:pPr>
        <w:pStyle w:val="3"/>
        <w:ind w:left="0" w:leftChars="0" w:firstLine="0" w:firstLineChars="0"/>
        <w:rPr>
          <w:rFonts w:ascii="Times New Roman" w:hAnsi="Times New Roman" w:cs="Times New Roman"/>
        </w:rPr>
      </w:pPr>
    </w:p>
    <w:p w14:paraId="3416F3DD">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7B59221B">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）组织、管理、协调、监督我市的法律援助工作；</w:t>
      </w:r>
    </w:p>
    <w:p w14:paraId="4242E81D">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）对公民申请法律援助事项进行初审，对符合法律援助条件的案件审批、指派；</w:t>
      </w:r>
    </w:p>
    <w:p w14:paraId="71114AF8">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）解答法律咨询；</w:t>
      </w:r>
    </w:p>
    <w:p w14:paraId="6EE5AB94">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）对重大、复杂、疑难和群体性的法律援助案件及时上报市法律援助中心和市委、市政府；</w:t>
      </w:r>
    </w:p>
    <w:p w14:paraId="117329F7">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（5）宣传法律援助制度；</w:t>
      </w:r>
    </w:p>
    <w:p w14:paraId="1ADAAAD5">
      <w:pPr>
        <w:snapToGrid w:val="0"/>
        <w:spacing w:line="520" w:lineRule="exact"/>
        <w:ind w:firstLine="640" w:firstLineChars="200"/>
        <w:rPr>
          <w:rFonts w:ascii="仿宋" w:hAnsi="仿宋" w:eastAsia="仿宋" w:cs="宋体"/>
          <w:sz w:val="32"/>
          <w:szCs w:val="32"/>
        </w:rPr>
      </w:pPr>
      <w:r>
        <w:rPr>
          <w:rFonts w:hint="eastAsia" w:ascii="仿宋_GB2312" w:hAnsi="仿宋" w:eastAsia="仿宋_GB2312"/>
          <w:sz w:val="32"/>
          <w:szCs w:val="32"/>
        </w:rPr>
        <w:t>（6）负责收集并上报本市法律援助信息资料和统计工资等。</w:t>
      </w:r>
    </w:p>
    <w:p w14:paraId="0D153357">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1E896D07">
      <w:pPr>
        <w:widowControl/>
        <w:spacing w:line="600" w:lineRule="exact"/>
        <w:ind w:firstLine="964" w:firstLineChars="300"/>
        <w:rPr>
          <w:rFonts w:hint="eastAsia" w:ascii="仿宋" w:hAnsi="仿宋" w:eastAsia="仿宋" w:cs="仿宋"/>
          <w:bCs/>
          <w:kern w:val="0"/>
          <w:sz w:val="32"/>
          <w:szCs w:val="32"/>
          <w:lang w:val="en-US" w:eastAsia="zh-CN"/>
        </w:rPr>
      </w:pPr>
      <w:r>
        <w:rPr>
          <w:rFonts w:hint="eastAsia" w:ascii="楷体" w:hAnsi="楷体" w:eastAsia="楷体"/>
          <w:b/>
          <w:bCs/>
          <w:kern w:val="0"/>
          <w:sz w:val="32"/>
          <w:szCs w:val="32"/>
          <w:lang w:eastAsia="zh-CN"/>
        </w:rPr>
        <w:t>（</w:t>
      </w:r>
      <w:r>
        <w:rPr>
          <w:rFonts w:hint="eastAsia" w:ascii="楷体" w:hAnsi="楷体" w:eastAsia="楷体"/>
          <w:b/>
          <w:bCs/>
          <w:kern w:val="0"/>
          <w:sz w:val="32"/>
          <w:szCs w:val="32"/>
        </w:rPr>
        <w:t>一）内设机构设置。</w:t>
      </w:r>
      <w:r>
        <w:rPr>
          <w:rFonts w:hint="eastAsia" w:ascii="仿宋" w:hAnsi="仿宋" w:eastAsia="仿宋" w:cs="仿宋"/>
          <w:bCs/>
          <w:kern w:val="0"/>
          <w:sz w:val="32"/>
          <w:szCs w:val="32"/>
        </w:rPr>
        <w:t>我单位</w:t>
      </w:r>
      <w:r>
        <w:rPr>
          <w:rFonts w:hint="eastAsia" w:ascii="仿宋" w:hAnsi="仿宋" w:eastAsia="仿宋" w:cs="仿宋"/>
          <w:bCs/>
          <w:kern w:val="0"/>
          <w:sz w:val="32"/>
          <w:szCs w:val="32"/>
          <w:lang w:val="en-US" w:eastAsia="zh-CN"/>
        </w:rPr>
        <w:t>是财政全额拨款一类公益事业单位，目前实有在职人员6人。</w:t>
      </w:r>
    </w:p>
    <w:p w14:paraId="4ECFCD59">
      <w:pPr>
        <w:widowControl/>
        <w:spacing w:line="600" w:lineRule="exact"/>
        <w:ind w:firstLine="964" w:firstLineChars="300"/>
        <w:rPr>
          <w:rFonts w:hint="eastAsia" w:ascii="仿宋" w:hAnsi="仿宋" w:eastAsia="仿宋" w:cs="仿宋"/>
          <w:bCs/>
          <w:kern w:val="0"/>
          <w:sz w:val="32"/>
          <w:szCs w:val="32"/>
        </w:rPr>
      </w:pPr>
      <w:r>
        <w:rPr>
          <w:rFonts w:hint="eastAsia" w:ascii="楷体" w:hAnsi="楷体" w:eastAsia="楷体" w:cs="楷体"/>
          <w:b/>
          <w:bCs w:val="0"/>
          <w:kern w:val="0"/>
          <w:sz w:val="32"/>
          <w:szCs w:val="32"/>
        </w:rPr>
        <w:t>（二）决算单位构成。</w:t>
      </w:r>
      <w:r>
        <w:rPr>
          <w:rFonts w:hint="eastAsia" w:ascii="仿宋" w:hAnsi="仿宋" w:eastAsia="仿宋" w:cs="仿宋"/>
          <w:bCs/>
          <w:kern w:val="0"/>
          <w:sz w:val="32"/>
          <w:szCs w:val="32"/>
          <w:lang w:eastAsia="zh-CN"/>
        </w:rPr>
        <w:t>沅江市法律援助中心</w:t>
      </w:r>
      <w:r>
        <w:rPr>
          <w:rFonts w:hint="eastAsia" w:ascii="仿宋" w:hAnsi="仿宋" w:eastAsia="仿宋" w:cs="仿宋"/>
          <w:bCs/>
          <w:kern w:val="0"/>
          <w:sz w:val="32"/>
          <w:szCs w:val="32"/>
        </w:rPr>
        <w:t>202</w:t>
      </w: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年部门决算汇总公开单位构成包括：</w:t>
      </w:r>
      <w:r>
        <w:rPr>
          <w:rFonts w:hint="eastAsia" w:ascii="仿宋" w:hAnsi="仿宋" w:eastAsia="仿宋" w:cs="仿宋"/>
          <w:bCs/>
          <w:kern w:val="0"/>
          <w:sz w:val="32"/>
          <w:szCs w:val="32"/>
          <w:lang w:eastAsia="zh-CN"/>
        </w:rPr>
        <w:t>沅江市法律援助中心</w:t>
      </w:r>
      <w:r>
        <w:rPr>
          <w:rFonts w:hint="eastAsia" w:ascii="仿宋" w:hAnsi="仿宋" w:eastAsia="仿宋" w:cs="仿宋"/>
          <w:bCs/>
          <w:kern w:val="0"/>
          <w:sz w:val="32"/>
          <w:szCs w:val="32"/>
        </w:rPr>
        <w:t>本级。</w:t>
      </w:r>
    </w:p>
    <w:p w14:paraId="54E88F31">
      <w:pPr>
        <w:jc w:val="left"/>
        <w:rPr>
          <w:rFonts w:hint="eastAsia" w:ascii="仿宋" w:hAnsi="仿宋" w:eastAsia="仿宋" w:cs="仿宋"/>
          <w:sz w:val="28"/>
          <w:szCs w:val="32"/>
        </w:rPr>
      </w:pPr>
    </w:p>
    <w:p w14:paraId="14DCFA55">
      <w:pPr>
        <w:jc w:val="center"/>
        <w:rPr>
          <w:rFonts w:ascii="Times New Roman" w:hAnsi="Times New Roman" w:eastAsia="黑体" w:cs="Times New Roman"/>
          <w:sz w:val="28"/>
          <w:szCs w:val="28"/>
        </w:rPr>
      </w:pPr>
    </w:p>
    <w:p w14:paraId="731EDD4B">
      <w:pPr>
        <w:jc w:val="center"/>
        <w:rPr>
          <w:rFonts w:ascii="Times New Roman" w:hAnsi="Times New Roman" w:eastAsia="黑体" w:cs="Times New Roman"/>
          <w:sz w:val="28"/>
          <w:szCs w:val="28"/>
        </w:rPr>
      </w:pPr>
    </w:p>
    <w:p w14:paraId="456DEDF2">
      <w:pPr>
        <w:jc w:val="center"/>
        <w:rPr>
          <w:rFonts w:ascii="Times New Roman" w:hAnsi="Times New Roman" w:eastAsia="黑体" w:cs="Times New Roman"/>
          <w:sz w:val="28"/>
          <w:szCs w:val="28"/>
        </w:rPr>
      </w:pPr>
    </w:p>
    <w:p w14:paraId="0653DCE8">
      <w:pPr>
        <w:jc w:val="center"/>
        <w:rPr>
          <w:rFonts w:ascii="Times New Roman" w:hAnsi="Times New Roman" w:eastAsia="黑体" w:cs="Times New Roman"/>
          <w:sz w:val="28"/>
          <w:szCs w:val="28"/>
        </w:rPr>
      </w:pPr>
    </w:p>
    <w:p w14:paraId="0445A012">
      <w:pPr>
        <w:jc w:val="center"/>
        <w:rPr>
          <w:rFonts w:ascii="Times New Roman" w:hAnsi="Times New Roman" w:eastAsia="黑体" w:cs="Times New Roman"/>
          <w:sz w:val="28"/>
          <w:szCs w:val="28"/>
        </w:rPr>
      </w:pPr>
    </w:p>
    <w:p w14:paraId="042CCC65">
      <w:pPr>
        <w:pStyle w:val="7"/>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59F02325">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1F296CE2">
      <w:pPr>
        <w:widowControl/>
        <w:jc w:val="both"/>
        <w:rPr>
          <w:rFonts w:ascii="Times New Roman" w:hAnsi="Times New Roman" w:eastAsia="方正小标宋_GBK" w:cs="Times New Roman"/>
          <w:color w:val="000000"/>
          <w:kern w:val="0"/>
          <w:sz w:val="36"/>
          <w:szCs w:val="36"/>
        </w:rPr>
      </w:pPr>
    </w:p>
    <w:p w14:paraId="768E2801">
      <w:pPr>
        <w:pStyle w:val="13"/>
        <w:jc w:val="center"/>
        <w:rPr>
          <w:rFonts w:hint="eastAsia" w:ascii="Times New Roman" w:hAnsi="Times New Roman" w:eastAsia="方正小标宋_GBK" w:cs="Times New Roman"/>
          <w:sz w:val="52"/>
          <w:szCs w:val="52"/>
          <w:lang w:val="en-US" w:eastAsia="zh-CN"/>
        </w:rPr>
      </w:pPr>
      <w:r>
        <w:rPr>
          <w:rFonts w:hint="eastAsia" w:ascii="Times New Roman" w:hAnsi="Times New Roman" w:eastAsia="方正小标宋_GBK" w:cs="Times New Roman"/>
          <w:sz w:val="52"/>
          <w:szCs w:val="52"/>
          <w:lang w:val="en-US" w:eastAsia="zh-CN"/>
        </w:rPr>
        <w:t>见附件</w:t>
      </w:r>
    </w:p>
    <w:p w14:paraId="6CD14556">
      <w:pPr>
        <w:autoSpaceDE w:val="0"/>
        <w:autoSpaceDN w:val="0"/>
        <w:adjustRightInd w:val="0"/>
        <w:ind w:left="315" w:leftChars="150"/>
        <w:jc w:val="left"/>
        <w:rPr>
          <w:rFonts w:ascii="Times New Roman" w:hAnsi="Times New Roman" w:eastAsia="宋体" w:cs="Times New Roman"/>
          <w:kern w:val="0"/>
          <w:sz w:val="24"/>
          <w:szCs w:val="24"/>
        </w:rPr>
      </w:pPr>
    </w:p>
    <w:p w14:paraId="369C3FCF">
      <w:pPr>
        <w:autoSpaceDE w:val="0"/>
        <w:autoSpaceDN w:val="0"/>
        <w:adjustRightInd w:val="0"/>
        <w:ind w:left="315" w:leftChars="150"/>
        <w:jc w:val="left"/>
        <w:rPr>
          <w:rFonts w:ascii="Times New Roman" w:hAnsi="Times New Roman" w:eastAsia="宋体" w:cs="Times New Roman"/>
          <w:kern w:val="0"/>
          <w:sz w:val="24"/>
          <w:szCs w:val="24"/>
        </w:rPr>
      </w:pPr>
    </w:p>
    <w:p w14:paraId="4909E3FE">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7E659599">
      <w:pPr>
        <w:pStyle w:val="13"/>
        <w:rPr>
          <w:rFonts w:ascii="Times New Roman" w:hAnsi="Times New Roman" w:cs="Times New Roman"/>
          <w:sz w:val="72"/>
          <w:szCs w:val="72"/>
        </w:rPr>
      </w:pPr>
    </w:p>
    <w:p w14:paraId="7D6F110E">
      <w:pPr>
        <w:pStyle w:val="13"/>
        <w:rPr>
          <w:rFonts w:ascii="Times New Roman" w:hAnsi="Times New Roman" w:cs="Times New Roman"/>
          <w:sz w:val="72"/>
          <w:szCs w:val="72"/>
        </w:rPr>
      </w:pPr>
    </w:p>
    <w:p w14:paraId="2511B8C2">
      <w:pPr>
        <w:pStyle w:val="13"/>
        <w:rPr>
          <w:rFonts w:ascii="Times New Roman" w:hAnsi="Times New Roman" w:cs="Times New Roman"/>
          <w:sz w:val="72"/>
          <w:szCs w:val="72"/>
        </w:rPr>
      </w:pPr>
    </w:p>
    <w:p w14:paraId="6ED0283D">
      <w:pPr>
        <w:pStyle w:val="13"/>
        <w:jc w:val="center"/>
        <w:rPr>
          <w:rFonts w:ascii="Times New Roman" w:hAnsi="Times New Roman" w:cs="Times New Roman"/>
          <w:sz w:val="72"/>
          <w:szCs w:val="72"/>
        </w:rPr>
      </w:pPr>
    </w:p>
    <w:p w14:paraId="3E97C2FC">
      <w:pPr>
        <w:pStyle w:val="13"/>
        <w:jc w:val="center"/>
        <w:rPr>
          <w:rFonts w:ascii="Times New Roman" w:hAnsi="Times New Roman" w:eastAsia="方正小标宋_GBK" w:cs="Times New Roman"/>
          <w:sz w:val="72"/>
          <w:szCs w:val="72"/>
        </w:rPr>
      </w:pPr>
    </w:p>
    <w:p w14:paraId="36C2B0B3">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2C5C6E69">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6FD72E97">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7EADBA2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5A705092">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171.44</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14.11</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8.97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中央转移支付案件补贴款增加。</w:t>
      </w:r>
    </w:p>
    <w:p w14:paraId="2166A13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D7EB2EA">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171.44</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167.55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97.73</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3.89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2.27</w:t>
      </w:r>
      <w:r>
        <w:rPr>
          <w:rFonts w:ascii="Times New Roman" w:hAnsi="Times New Roman" w:eastAsia="仿宋_GB2312" w:cs="Times New Roman"/>
          <w:sz w:val="32"/>
          <w:szCs w:val="32"/>
        </w:rPr>
        <w:t>%。</w:t>
      </w:r>
    </w:p>
    <w:p w14:paraId="4F80913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76D958B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171.41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84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49</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87.41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51</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069E387">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2E07EC77">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167.55</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10.2</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6.5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中央转移支付案件补贴款增加。</w:t>
      </w:r>
    </w:p>
    <w:p w14:paraId="724C5A5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2C0E42D7">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77D57893">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167.55</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97</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10.2</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6.5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中央转移支付案件补贴款增加。</w:t>
      </w:r>
    </w:p>
    <w:p w14:paraId="47734B37">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w:t>
      </w:r>
    </w:p>
    <w:p w14:paraId="079B935B">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2A7AB0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167.55</w:t>
      </w:r>
      <w:r>
        <w:rPr>
          <w:rFonts w:ascii="Times New Roman" w:hAnsi="Times New Roman" w:eastAsia="仿宋_GB2312" w:cs="Times New Roman"/>
          <w:sz w:val="32"/>
          <w:szCs w:val="32"/>
        </w:rPr>
        <w:t>万元，主要用于以下方面：公共</w:t>
      </w:r>
      <w:r>
        <w:rPr>
          <w:rFonts w:hint="eastAsia" w:ascii="Times New Roman" w:hAnsi="Times New Roman" w:eastAsia="仿宋_GB2312" w:cs="Times New Roman"/>
          <w:sz w:val="32"/>
          <w:szCs w:val="32"/>
          <w:lang w:val="en-US" w:eastAsia="zh-CN"/>
        </w:rPr>
        <w:t>安全</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160.99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96.1</w:t>
      </w:r>
      <w:r>
        <w:rPr>
          <w:rFonts w:ascii="Times New Roman" w:hAnsi="Times New Roman" w:eastAsia="仿宋_GB2312" w:cs="Times New Roman"/>
          <w:sz w:val="32"/>
          <w:szCs w:val="32"/>
        </w:rPr>
        <w:t>%；</w:t>
      </w:r>
      <w:r>
        <w:rPr>
          <w:rFonts w:hint="eastAsia" w:asciiTheme="minorEastAsia" w:hAnsiTheme="minorEastAsia" w:eastAsiaTheme="minorEastAsia"/>
          <w:sz w:val="32"/>
          <w:szCs w:val="32"/>
        </w:rPr>
        <w:t>住房保障（类）支出</w:t>
      </w:r>
      <w:r>
        <w:rPr>
          <w:rFonts w:hint="eastAsia" w:asciiTheme="minorEastAsia" w:hAnsiTheme="minorEastAsia" w:eastAsiaTheme="minorEastAsia"/>
          <w:sz w:val="32"/>
          <w:szCs w:val="32"/>
          <w:lang w:val="en-US" w:eastAsia="zh-CN"/>
        </w:rPr>
        <w:t>6.56</w:t>
      </w:r>
      <w:r>
        <w:rPr>
          <w:rFonts w:hint="eastAsia" w:asciiTheme="minorEastAsia" w:hAnsiTheme="minorEastAsia" w:eastAsiaTheme="minorEastAsia"/>
          <w:sz w:val="32"/>
          <w:szCs w:val="32"/>
        </w:rPr>
        <w:t>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3.9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4E5244F">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15B9C99C">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110.19</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167.55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152</w:t>
      </w:r>
      <w:r>
        <w:rPr>
          <w:rFonts w:ascii="Times New Roman" w:hAnsi="Times New Roman" w:eastAsia="仿宋_GB2312" w:cs="Times New Roman"/>
          <w:sz w:val="32"/>
          <w:szCs w:val="32"/>
        </w:rPr>
        <w:t>%，其中：</w:t>
      </w:r>
    </w:p>
    <w:p w14:paraId="38AE9E2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公共安全支出</w:t>
      </w:r>
    </w:p>
    <w:p w14:paraId="004E57E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104.19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160.99万元，</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案件数量增加，补贴发放增多。</w:t>
      </w:r>
    </w:p>
    <w:p w14:paraId="241B07F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w:t>
      </w:r>
      <w:r>
        <w:rPr>
          <w:rFonts w:hint="default" w:ascii="Times New Roman" w:hAnsi="Times New Roman" w:eastAsia="仿宋_GB2312"/>
          <w:sz w:val="32"/>
          <w:szCs w:val="32"/>
          <w:lang w:val="en-US" w:eastAsia="zh-CN"/>
        </w:rPr>
        <w:t>住房保障</w:t>
      </w:r>
    </w:p>
    <w:p w14:paraId="71B8329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6.55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工资增加。</w:t>
      </w:r>
    </w:p>
    <w:p w14:paraId="30C2B4E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14FE7E2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84</w:t>
      </w:r>
      <w:r>
        <w:rPr>
          <w:rFonts w:ascii="Times New Roman" w:hAnsi="Times New Roman" w:eastAsia="仿宋_GB2312" w:cs="Times New Roman"/>
          <w:sz w:val="32"/>
          <w:szCs w:val="32"/>
        </w:rPr>
        <w:t>万元，其中：</w:t>
      </w:r>
    </w:p>
    <w:p w14:paraId="2887CE57">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80.74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96.11</w:t>
      </w:r>
      <w:r>
        <w:rPr>
          <w:rFonts w:ascii="Times New Roman" w:hAnsi="Times New Roman" w:eastAsia="仿宋_GB2312" w:cs="Times New Roman"/>
          <w:sz w:val="32"/>
          <w:szCs w:val="32"/>
        </w:rPr>
        <w:t>%,</w:t>
      </w:r>
      <w:r>
        <w:rPr>
          <w:rFonts w:hint="eastAsia" w:ascii="Times New Roman" w:hAnsi="Times New Roman" w:eastAsia="仿宋_GB2312"/>
          <w:sz w:val="32"/>
          <w:szCs w:val="32"/>
        </w:rPr>
        <w:t>主要包括</w:t>
      </w:r>
      <w:r>
        <w:rPr>
          <w:rFonts w:asciiTheme="minorEastAsia" w:hAnsiTheme="minorEastAsia" w:eastAsiaTheme="minorEastAsia"/>
          <w:sz w:val="32"/>
          <w:szCs w:val="32"/>
        </w:rPr>
        <w:t>基本工资、津贴补贴</w:t>
      </w:r>
      <w:r>
        <w:rPr>
          <w:rFonts w:hint="eastAsia" w:asciiTheme="minorEastAsia" w:hAnsiTheme="minorEastAsia" w:eastAsiaTheme="minorEastAsia"/>
          <w:sz w:val="32"/>
          <w:szCs w:val="32"/>
        </w:rPr>
        <w:t>、奖金、伙食补助费、机关事业单位基本养老保险缴费、职工基本医疗保险缴费、其他社会保障缴费、住房公积金、医疗费、其他工资福利支出、生活补助、奖励金</w:t>
      </w:r>
      <w:r>
        <w:rPr>
          <w:rFonts w:hint="eastAsia" w:ascii="Times New Roman" w:hAnsi="Times New Roman" w:eastAsia="仿宋_GB2312"/>
          <w:sz w:val="32"/>
          <w:szCs w:val="32"/>
          <w:lang w:eastAsia="zh-CN"/>
        </w:rPr>
        <w:t>。</w:t>
      </w:r>
    </w:p>
    <w:p w14:paraId="07638326">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3.26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3.89</w:t>
      </w:r>
      <w:r>
        <w:rPr>
          <w:rFonts w:ascii="Times New Roman" w:hAnsi="Times New Roman" w:eastAsia="仿宋_GB2312" w:cs="Times New Roman"/>
          <w:sz w:val="32"/>
          <w:szCs w:val="32"/>
        </w:rPr>
        <w:t>%，</w:t>
      </w:r>
      <w:r>
        <w:rPr>
          <w:rFonts w:hint="eastAsia" w:ascii="Times New Roman" w:hAnsi="Times New Roman" w:eastAsia="仿宋_GB2312"/>
          <w:sz w:val="32"/>
          <w:szCs w:val="32"/>
        </w:rPr>
        <w:t>主要包括</w:t>
      </w:r>
      <w:r>
        <w:rPr>
          <w:rFonts w:hint="eastAsia" w:asciiTheme="minorEastAsia" w:hAnsiTheme="minorEastAsia" w:eastAsiaTheme="minorEastAsia"/>
          <w:sz w:val="32"/>
          <w:szCs w:val="32"/>
        </w:rPr>
        <w:t>办公费、印刷费、水费、电费、邮电费、差旅费、维修（护）费、培训费、劳务费、工会经费、其他交通费用、其他商品和服务支出。</w:t>
      </w:r>
    </w:p>
    <w:p w14:paraId="458C28C5">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1C4EBA8F">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368DE814">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51FD8550">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04FD91B5">
      <w:pPr>
        <w:pStyle w:val="13"/>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val="en-US" w:eastAsia="zh-CN"/>
        </w:rPr>
        <w:t>.</w:t>
      </w:r>
    </w:p>
    <w:p w14:paraId="4DDD313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w:t>
      </w:r>
    </w:p>
    <w:p w14:paraId="5358D9AC">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9E6C50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截止202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5189E03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0.22</w:t>
      </w:r>
      <w:r>
        <w:rPr>
          <w:rFonts w:ascii="Times New Roman" w:hAnsi="Times New Roman" w:eastAsia="仿宋_GB2312" w:cs="Times New Roman"/>
          <w:sz w:val="32"/>
          <w:szCs w:val="32"/>
        </w:rPr>
        <w:t>万元。</w:t>
      </w:r>
    </w:p>
    <w:p w14:paraId="37B07F4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D9EEB8C">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w:t>
      </w:r>
    </w:p>
    <w:p w14:paraId="0B300C31">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15CE3E9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3.26</w:t>
      </w:r>
      <w:r>
        <w:rPr>
          <w:rFonts w:ascii="Times New Roman" w:hAnsi="Times New Roman" w:eastAsia="仿宋_GB2312" w:cs="Times New Roman"/>
          <w:sz w:val="32"/>
          <w:szCs w:val="32"/>
        </w:rPr>
        <w:t>万元</w:t>
      </w:r>
      <w:r>
        <w:rPr>
          <w:rFonts w:ascii="Times New Roman" w:hAnsi="Times New Roman" w:eastAsia="楷体_GB2312" w:cs="Times New Roman"/>
          <w:b/>
          <w:bCs/>
          <w:i/>
          <w:color w:val="auto"/>
          <w:sz w:val="32"/>
          <w:szCs w:val="32"/>
        </w:rPr>
        <w:t>（与部门决算中行政单位和参照公务员法管理事业单位财政拨款基本支出中公用经费之和一致）</w:t>
      </w:r>
      <w:r>
        <w:rPr>
          <w:rFonts w:ascii="Times New Roman" w:hAnsi="Times New Roman" w:eastAsia="仿宋_GB2312" w:cs="Times New Roman"/>
          <w:sz w:val="32"/>
          <w:szCs w:val="32"/>
        </w:rPr>
        <w:t>，比上年决算数减少</w:t>
      </w:r>
      <w:r>
        <w:rPr>
          <w:rFonts w:hint="eastAsia" w:ascii="Times New Roman" w:hAnsi="Times New Roman" w:eastAsia="仿宋_GB2312" w:cs="Times New Roman"/>
          <w:sz w:val="32"/>
          <w:szCs w:val="32"/>
          <w:lang w:val="en-US" w:eastAsia="zh-CN"/>
        </w:rPr>
        <w:t>7.75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70.44</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严格按照过紧日子相关要求</w:t>
      </w:r>
      <w:r>
        <w:rPr>
          <w:rFonts w:ascii="Times New Roman" w:hAnsi="Times New Roman" w:eastAsia="仿宋_GB2312" w:cs="Times New Roman"/>
          <w:sz w:val="32"/>
          <w:szCs w:val="32"/>
        </w:rPr>
        <w:t>。</w:t>
      </w:r>
    </w:p>
    <w:p w14:paraId="25675492">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468EE3EA">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0.41</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0.27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会议费主要用于全年度法律援助工作会议及法律援助案件质量评估会议；培训费主要用于法律援助律师培训及法律援助案件质量评估培训。</w:t>
      </w:r>
    </w:p>
    <w:p w14:paraId="64A7872C">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73F9F759">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0.67</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0.67</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0.67</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ascii="Times New Roman" w:hAnsi="Times New Roman" w:eastAsia="楷体_GB2312" w:cs="Times New Roman"/>
          <w:b/>
          <w:bCs/>
          <w:i/>
          <w:color w:val="auto"/>
          <w:sz w:val="32"/>
          <w:szCs w:val="32"/>
        </w:rPr>
        <w:t>（政府采购金额的计算口径为：本部门纳入2024年度部门预算范围的各项政府采购支出金额之和，不包括涉密采购项目的支出金额）</w:t>
      </w:r>
    </w:p>
    <w:p w14:paraId="33C8AF55">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0304B5F3">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382D9D17">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045B19B3">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13.37</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13.37</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 xml:space="preserve"> 8</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二是部门评价开展情况（如有，一级预算部门填写）。</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法律援助</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法院、检察院律师值班费</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13.37</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三是事前绩效评估开展情况（如有，一级预算部门填写）。</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14:paraId="1EE5F60A">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110.19</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171.44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155</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好</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lang w:val="en-US" w:eastAsia="zh-CN"/>
        </w:rPr>
        <w:t>法律援助案件补贴及时发放</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val="en-US" w:eastAsia="zh-CN"/>
        </w:rPr>
        <w:t>法院、检察院律师值班补贴发放</w:t>
      </w:r>
      <w:r>
        <w:rPr>
          <w:rFonts w:ascii="Times New Roman" w:hAnsi="Times New Roman" w:eastAsia="仿宋_GB2312" w:cs="Times New Roman"/>
          <w:sz w:val="32"/>
          <w:szCs w:val="32"/>
        </w:rPr>
        <w:t>。</w:t>
      </w:r>
      <w:r>
        <w:rPr>
          <w:rFonts w:ascii="Times New Roman" w:hAnsi="Times New Roman" w:eastAsia="仿宋_GB2312" w:cs="Times New Roman"/>
          <w:b/>
          <w:bCs/>
          <w:kern w:val="0"/>
          <w:sz w:val="32"/>
          <w:szCs w:val="32"/>
        </w:rPr>
        <w:t>二是部门评价结果（如有，一级预算部门填写）。</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法律援助</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1.85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1.85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好</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法院、检察院律师值班费</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11.52</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11.52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好</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三是事前绩效评估结果（如有，一级预算部门填写）。</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29EEE92D">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2024年部门整体支出绩效自评结果为</w:t>
      </w:r>
      <w:r>
        <w:rPr>
          <w:rFonts w:hint="eastAsia" w:ascii="Times New Roman" w:hAnsi="Times New Roman" w:eastAsia="仿宋_GB2312" w:cs="Times New Roman"/>
          <w:color w:val="auto"/>
          <w:sz w:val="32"/>
          <w:szCs w:val="32"/>
          <w:lang w:eastAsia="zh-CN"/>
        </w:rPr>
        <w:t>好</w:t>
      </w:r>
      <w:r>
        <w:rPr>
          <w:rFonts w:hint="eastAsia" w:ascii="Times New Roman" w:hAnsi="Times New Roman" w:eastAsia="仿宋_GB2312" w:cs="Times New Roman"/>
          <w:color w:val="auto"/>
          <w:sz w:val="32"/>
          <w:szCs w:val="32"/>
        </w:rPr>
        <w:t>，本次绩效自评结果将作为下年度部门预算安排的重要依据。自评报告经财政</w:t>
      </w:r>
      <w:r>
        <w:rPr>
          <w:rFonts w:hint="eastAsia" w:ascii="Times New Roman" w:hAnsi="Times New Roman" w:eastAsia="仿宋_GB2312" w:cs="Times New Roman"/>
          <w:color w:val="auto"/>
          <w:sz w:val="32"/>
          <w:szCs w:val="32"/>
          <w:lang w:val="en-US" w:eastAsia="zh-CN"/>
        </w:rPr>
        <w:t>部门</w:t>
      </w:r>
      <w:r>
        <w:rPr>
          <w:rFonts w:hint="eastAsia" w:ascii="Times New Roman" w:hAnsi="Times New Roman" w:eastAsia="仿宋_GB2312" w:cs="Times New Roman"/>
          <w:color w:val="auto"/>
          <w:sz w:val="32"/>
          <w:szCs w:val="32"/>
        </w:rPr>
        <w:t>审核后，将按要求通过</w:t>
      </w:r>
      <w:r>
        <w:rPr>
          <w:rFonts w:hint="eastAsia" w:ascii="Times New Roman" w:hAnsi="Times New Roman" w:eastAsia="仿宋_GB2312" w:cs="Times New Roman"/>
          <w:color w:val="auto"/>
          <w:sz w:val="32"/>
          <w:szCs w:val="32"/>
          <w:lang w:val="en-US" w:eastAsia="zh-CN"/>
        </w:rPr>
        <w:t>政府</w:t>
      </w:r>
      <w:r>
        <w:rPr>
          <w:rFonts w:hint="eastAsia" w:ascii="Times New Roman" w:hAnsi="Times New Roman" w:eastAsia="仿宋_GB2312" w:cs="Times New Roman"/>
          <w:color w:val="auto"/>
          <w:sz w:val="32"/>
          <w:szCs w:val="32"/>
        </w:rPr>
        <w:t>官网向社会公开，主动接受社会监督。</w:t>
      </w:r>
    </w:p>
    <w:p w14:paraId="2BD3A642">
      <w:pPr>
        <w:pStyle w:val="13"/>
        <w:jc w:val="center"/>
        <w:rPr>
          <w:rFonts w:ascii="Times New Roman" w:hAnsi="Times New Roman" w:cs="Times New Roman"/>
          <w:sz w:val="72"/>
          <w:szCs w:val="72"/>
        </w:rPr>
      </w:pPr>
    </w:p>
    <w:p w14:paraId="4D352B51">
      <w:pPr>
        <w:pStyle w:val="13"/>
        <w:jc w:val="center"/>
        <w:rPr>
          <w:rFonts w:ascii="Times New Roman" w:hAnsi="Times New Roman" w:cs="Times New Roman"/>
          <w:sz w:val="72"/>
          <w:szCs w:val="72"/>
        </w:rPr>
      </w:pPr>
    </w:p>
    <w:p w14:paraId="4E9ABAFD">
      <w:pPr>
        <w:pStyle w:val="13"/>
        <w:jc w:val="center"/>
        <w:rPr>
          <w:rFonts w:ascii="Times New Roman" w:hAnsi="Times New Roman" w:cs="Times New Roman"/>
          <w:sz w:val="72"/>
          <w:szCs w:val="72"/>
        </w:rPr>
      </w:pPr>
    </w:p>
    <w:p w14:paraId="7D108083">
      <w:pPr>
        <w:pStyle w:val="13"/>
        <w:jc w:val="center"/>
        <w:rPr>
          <w:rFonts w:ascii="Times New Roman" w:hAnsi="Times New Roman" w:cs="Times New Roman"/>
          <w:sz w:val="72"/>
          <w:szCs w:val="72"/>
        </w:rPr>
      </w:pPr>
    </w:p>
    <w:p w14:paraId="268A506C">
      <w:pPr>
        <w:pStyle w:val="13"/>
        <w:jc w:val="center"/>
        <w:rPr>
          <w:rFonts w:ascii="Times New Roman" w:hAnsi="Times New Roman" w:cs="Times New Roman"/>
          <w:sz w:val="72"/>
          <w:szCs w:val="72"/>
        </w:rPr>
      </w:pPr>
    </w:p>
    <w:p w14:paraId="72C2D3F8">
      <w:pPr>
        <w:pStyle w:val="13"/>
        <w:jc w:val="center"/>
        <w:rPr>
          <w:rFonts w:ascii="Times New Roman" w:hAnsi="Times New Roman" w:cs="Times New Roman"/>
          <w:sz w:val="72"/>
          <w:szCs w:val="72"/>
        </w:rPr>
      </w:pPr>
    </w:p>
    <w:p w14:paraId="2E908CDA">
      <w:pPr>
        <w:pStyle w:val="13"/>
        <w:jc w:val="center"/>
        <w:rPr>
          <w:rFonts w:ascii="Times New Roman" w:hAnsi="Times New Roman" w:cs="Times New Roman"/>
          <w:sz w:val="72"/>
          <w:szCs w:val="72"/>
        </w:rPr>
      </w:pPr>
    </w:p>
    <w:p w14:paraId="5B51FC18">
      <w:pPr>
        <w:pStyle w:val="13"/>
        <w:jc w:val="center"/>
        <w:rPr>
          <w:rFonts w:ascii="Times New Roman" w:hAnsi="Times New Roman" w:cs="Times New Roman"/>
          <w:sz w:val="72"/>
          <w:szCs w:val="72"/>
        </w:rPr>
      </w:pPr>
    </w:p>
    <w:p w14:paraId="6C9CF389">
      <w:pPr>
        <w:pStyle w:val="13"/>
        <w:jc w:val="center"/>
        <w:rPr>
          <w:rFonts w:ascii="Times New Roman" w:hAnsi="Times New Roman" w:cs="Times New Roman"/>
          <w:sz w:val="72"/>
          <w:szCs w:val="72"/>
        </w:rPr>
      </w:pPr>
    </w:p>
    <w:p w14:paraId="765CDE22">
      <w:pPr>
        <w:pStyle w:val="13"/>
        <w:jc w:val="center"/>
        <w:rPr>
          <w:rFonts w:ascii="Times New Roman" w:hAnsi="Times New Roman" w:cs="Times New Roman"/>
          <w:sz w:val="72"/>
          <w:szCs w:val="72"/>
        </w:rPr>
      </w:pPr>
    </w:p>
    <w:p w14:paraId="6FA022B3">
      <w:pPr>
        <w:pStyle w:val="13"/>
        <w:jc w:val="center"/>
        <w:rPr>
          <w:rFonts w:ascii="Times New Roman" w:hAnsi="Times New Roman" w:cs="Times New Roman"/>
          <w:sz w:val="72"/>
          <w:szCs w:val="72"/>
        </w:rPr>
      </w:pPr>
    </w:p>
    <w:p w14:paraId="309684F9">
      <w:pPr>
        <w:pStyle w:val="13"/>
        <w:jc w:val="both"/>
        <w:rPr>
          <w:rFonts w:ascii="Times New Roman" w:hAnsi="Times New Roman" w:cs="Times New Roman"/>
          <w:sz w:val="72"/>
          <w:szCs w:val="72"/>
        </w:rPr>
      </w:pPr>
    </w:p>
    <w:p w14:paraId="19DC8635">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3EAA8963">
      <w:pPr>
        <w:widowControl/>
        <w:jc w:val="left"/>
        <w:rPr>
          <w:rFonts w:ascii="Times New Roman" w:hAnsi="Times New Roman" w:cs="Times New Roman"/>
          <w:color w:val="000000"/>
          <w:kern w:val="0"/>
          <w:sz w:val="32"/>
          <w:szCs w:val="32"/>
        </w:rPr>
      </w:pPr>
    </w:p>
    <w:p w14:paraId="239FEFCE">
      <w:pPr>
        <w:pStyle w:val="7"/>
        <w:rPr>
          <w:rFonts w:ascii="Times New Roman" w:hAnsi="Times New Roman" w:cs="Times New Roman"/>
          <w:color w:val="000000"/>
          <w:kern w:val="0"/>
          <w:sz w:val="32"/>
          <w:szCs w:val="32"/>
        </w:rPr>
      </w:pPr>
    </w:p>
    <w:p w14:paraId="188FD08B">
      <w:pPr>
        <w:pStyle w:val="3"/>
        <w:rPr>
          <w:rFonts w:ascii="Times New Roman" w:hAnsi="Times New Roman" w:cs="Times New Roman"/>
          <w:color w:val="000000"/>
          <w:kern w:val="0"/>
          <w:sz w:val="32"/>
          <w:szCs w:val="32"/>
        </w:rPr>
      </w:pPr>
    </w:p>
    <w:p w14:paraId="4C7B1832">
      <w:pPr>
        <w:rPr>
          <w:rFonts w:ascii="Times New Roman" w:hAnsi="Times New Roman" w:cs="Times New Roman"/>
          <w:color w:val="000000"/>
          <w:kern w:val="0"/>
          <w:sz w:val="32"/>
          <w:szCs w:val="32"/>
        </w:rPr>
      </w:pPr>
    </w:p>
    <w:p w14:paraId="79BA0C8C">
      <w:pPr>
        <w:pStyle w:val="7"/>
        <w:rPr>
          <w:rFonts w:ascii="Times New Roman" w:hAnsi="Times New Roman" w:cs="Times New Roman"/>
          <w:color w:val="000000"/>
          <w:kern w:val="0"/>
          <w:sz w:val="32"/>
          <w:szCs w:val="32"/>
        </w:rPr>
      </w:pPr>
    </w:p>
    <w:p w14:paraId="38A8614E">
      <w:pPr>
        <w:pStyle w:val="3"/>
        <w:rPr>
          <w:rFonts w:ascii="Times New Roman" w:hAnsi="Times New Roman" w:cs="Times New Roman"/>
          <w:color w:val="000000"/>
          <w:kern w:val="0"/>
          <w:sz w:val="32"/>
          <w:szCs w:val="32"/>
        </w:rPr>
      </w:pPr>
    </w:p>
    <w:p w14:paraId="494575EB">
      <w:pPr>
        <w:rPr>
          <w:rFonts w:ascii="Times New Roman" w:hAnsi="Times New Roman" w:cs="Times New Roman"/>
          <w:color w:val="000000"/>
          <w:kern w:val="0"/>
          <w:sz w:val="32"/>
          <w:szCs w:val="32"/>
        </w:rPr>
      </w:pPr>
    </w:p>
    <w:p w14:paraId="47C270CC">
      <w:pPr>
        <w:pStyle w:val="7"/>
        <w:rPr>
          <w:rFonts w:ascii="Times New Roman" w:hAnsi="Times New Roman" w:cs="Times New Roman"/>
          <w:color w:val="000000"/>
          <w:kern w:val="0"/>
          <w:sz w:val="32"/>
          <w:szCs w:val="32"/>
        </w:rPr>
      </w:pPr>
    </w:p>
    <w:p w14:paraId="5D509965">
      <w:pPr>
        <w:pStyle w:val="3"/>
        <w:rPr>
          <w:rFonts w:ascii="Times New Roman" w:hAnsi="Times New Roman" w:cs="Times New Roman"/>
          <w:color w:val="000000"/>
          <w:kern w:val="0"/>
          <w:sz w:val="32"/>
          <w:szCs w:val="32"/>
        </w:rPr>
      </w:pPr>
    </w:p>
    <w:p w14:paraId="64F0E095">
      <w:pPr>
        <w:rPr>
          <w:rFonts w:ascii="Times New Roman" w:hAnsi="Times New Roman" w:cs="Times New Roman"/>
          <w:color w:val="000000"/>
          <w:kern w:val="0"/>
          <w:sz w:val="32"/>
          <w:szCs w:val="32"/>
        </w:rPr>
      </w:pPr>
    </w:p>
    <w:p w14:paraId="51A70ABF">
      <w:pPr>
        <w:pStyle w:val="7"/>
        <w:rPr>
          <w:rFonts w:ascii="Times New Roman" w:hAnsi="Times New Roman" w:cs="Times New Roman"/>
          <w:color w:val="000000"/>
          <w:kern w:val="0"/>
          <w:sz w:val="32"/>
          <w:szCs w:val="32"/>
        </w:rPr>
      </w:pPr>
    </w:p>
    <w:p w14:paraId="7F42AE6B">
      <w:pPr>
        <w:pStyle w:val="3"/>
        <w:rPr>
          <w:rFonts w:ascii="Times New Roman" w:hAnsi="Times New Roman" w:cs="Times New Roman"/>
          <w:color w:val="000000"/>
          <w:kern w:val="0"/>
          <w:sz w:val="32"/>
          <w:szCs w:val="32"/>
        </w:rPr>
      </w:pPr>
    </w:p>
    <w:p w14:paraId="28866188">
      <w:pPr>
        <w:rPr>
          <w:rFonts w:ascii="Times New Roman" w:hAnsi="Times New Roman" w:cs="Times New Roman"/>
          <w:color w:val="000000"/>
          <w:kern w:val="0"/>
          <w:sz w:val="32"/>
          <w:szCs w:val="32"/>
        </w:rPr>
      </w:pPr>
    </w:p>
    <w:p w14:paraId="386A9EA5">
      <w:pPr>
        <w:pStyle w:val="3"/>
        <w:ind w:left="0" w:leftChars="0" w:firstLine="0" w:firstLineChars="0"/>
      </w:pPr>
    </w:p>
    <w:p w14:paraId="5CAE70C4">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14:paraId="5AA9F7FA">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14:paraId="60324F91">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14:paraId="73075B2D">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指除上述“财政拨款收入”</w:t>
      </w:r>
      <w:r>
        <w:rPr>
          <w:rFonts w:hint="eastAsia" w:ascii="仿宋" w:hAnsi="仿宋" w:eastAsia="仿宋" w:cs="仿宋"/>
          <w:sz w:val="32"/>
          <w:lang w:eastAsia="zh-CN"/>
        </w:rPr>
        <w:t>、</w:t>
      </w:r>
      <w:r>
        <w:rPr>
          <w:rFonts w:ascii="仿宋" w:hAnsi="仿宋" w:eastAsia="仿宋" w:cs="仿宋"/>
          <w:sz w:val="32"/>
        </w:rPr>
        <w:t xml:space="preserve">“事业收入” </w:t>
      </w:r>
      <w:r>
        <w:rPr>
          <w:rFonts w:hint="eastAsia" w:ascii="仿宋" w:hAnsi="仿宋" w:eastAsia="仿宋" w:cs="仿宋"/>
          <w:sz w:val="32"/>
          <w:lang w:eastAsia="zh-CN"/>
        </w:rPr>
        <w:t>、</w:t>
      </w:r>
      <w:r>
        <w:rPr>
          <w:rFonts w:ascii="仿宋" w:hAnsi="仿宋" w:eastAsia="仿宋" w:cs="仿宋"/>
          <w:sz w:val="32"/>
        </w:rPr>
        <w:t xml:space="preserve">“经营收入”等以外的收入。主要是按规定动用的售房收入、存款利息收入等。 </w:t>
      </w:r>
    </w:p>
    <w:p w14:paraId="02D3AB1F">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759BA1DD">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14:paraId="7EFBB1A1">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14:paraId="50416C58">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14:paraId="71A1729F">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14:paraId="63B7E189">
      <w:pPr>
        <w:jc w:val="left"/>
        <w:rPr>
          <w:rFonts w:ascii="仿宋" w:hAnsi="仿宋" w:eastAsia="仿宋" w:cs="仿宋"/>
          <w:sz w:val="32"/>
        </w:rPr>
      </w:pPr>
      <w:r>
        <w:rPr>
          <w:rFonts w:ascii="仿宋" w:hAnsi="仿宋" w:eastAsia="仿宋" w:cs="仿宋"/>
          <w:sz w:val="32"/>
        </w:rPr>
        <w:t xml:space="preserve">作任务而发生的人员支出和公用支出。 </w:t>
      </w:r>
    </w:p>
    <w:p w14:paraId="00DC8E04">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14:paraId="4BECE7C0">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14:paraId="7C2DB65F">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72DD5B56">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6DE7C30">
      <w:pPr>
        <w:pStyle w:val="13"/>
        <w:jc w:val="center"/>
        <w:rPr>
          <w:rFonts w:ascii="Times New Roman" w:hAnsi="Times New Roman" w:cs="Times New Roman"/>
          <w:sz w:val="72"/>
          <w:szCs w:val="72"/>
        </w:rPr>
      </w:pPr>
    </w:p>
    <w:p w14:paraId="34DC5DC0">
      <w:pPr>
        <w:pStyle w:val="13"/>
        <w:jc w:val="center"/>
        <w:rPr>
          <w:rFonts w:ascii="Times New Roman" w:hAnsi="Times New Roman" w:cs="Times New Roman"/>
          <w:sz w:val="72"/>
          <w:szCs w:val="72"/>
        </w:rPr>
      </w:pPr>
    </w:p>
    <w:p w14:paraId="2F599149">
      <w:pPr>
        <w:pStyle w:val="13"/>
        <w:jc w:val="center"/>
        <w:rPr>
          <w:rFonts w:ascii="Times New Roman" w:hAnsi="Times New Roman" w:cs="Times New Roman"/>
          <w:sz w:val="72"/>
          <w:szCs w:val="72"/>
        </w:rPr>
      </w:pPr>
    </w:p>
    <w:p w14:paraId="53B97B37">
      <w:pPr>
        <w:pStyle w:val="13"/>
        <w:jc w:val="center"/>
        <w:rPr>
          <w:rFonts w:ascii="Times New Roman" w:hAnsi="Times New Roman" w:cs="Times New Roman"/>
          <w:sz w:val="72"/>
          <w:szCs w:val="72"/>
        </w:rPr>
      </w:pPr>
    </w:p>
    <w:p w14:paraId="1AA4B393">
      <w:pPr>
        <w:pStyle w:val="13"/>
        <w:jc w:val="center"/>
        <w:rPr>
          <w:rFonts w:ascii="Times New Roman" w:hAnsi="Times New Roman" w:cs="Times New Roman"/>
          <w:sz w:val="72"/>
          <w:szCs w:val="72"/>
        </w:rPr>
      </w:pPr>
    </w:p>
    <w:p w14:paraId="2D3E4A5C">
      <w:pPr>
        <w:pStyle w:val="13"/>
        <w:jc w:val="center"/>
        <w:rPr>
          <w:rFonts w:ascii="Times New Roman" w:hAnsi="Times New Roman" w:cs="Times New Roman"/>
          <w:sz w:val="72"/>
          <w:szCs w:val="72"/>
        </w:rPr>
      </w:pPr>
    </w:p>
    <w:p w14:paraId="3C363E49">
      <w:pPr>
        <w:pStyle w:val="13"/>
        <w:jc w:val="center"/>
        <w:rPr>
          <w:rFonts w:ascii="Times New Roman" w:hAnsi="Times New Roman" w:cs="Times New Roman"/>
          <w:sz w:val="72"/>
          <w:szCs w:val="72"/>
        </w:rPr>
      </w:pPr>
    </w:p>
    <w:p w14:paraId="5EE0B485">
      <w:pPr>
        <w:pStyle w:val="13"/>
        <w:jc w:val="center"/>
        <w:rPr>
          <w:rFonts w:ascii="Times New Roman" w:hAnsi="Times New Roman" w:cs="Times New Roman"/>
          <w:sz w:val="72"/>
          <w:szCs w:val="72"/>
        </w:rPr>
      </w:pPr>
    </w:p>
    <w:p w14:paraId="52FE268D">
      <w:pPr>
        <w:pStyle w:val="13"/>
        <w:jc w:val="center"/>
        <w:rPr>
          <w:rFonts w:ascii="Times New Roman" w:hAnsi="Times New Roman" w:cs="Times New Roman"/>
          <w:sz w:val="72"/>
          <w:szCs w:val="72"/>
        </w:rPr>
      </w:pPr>
    </w:p>
    <w:p w14:paraId="2084DF24">
      <w:pPr>
        <w:pStyle w:val="13"/>
        <w:jc w:val="center"/>
        <w:rPr>
          <w:rFonts w:ascii="Times New Roman" w:hAnsi="Times New Roman" w:cs="Times New Roman"/>
          <w:sz w:val="72"/>
          <w:szCs w:val="72"/>
        </w:rPr>
      </w:pPr>
    </w:p>
    <w:p w14:paraId="7ACBC443">
      <w:pPr>
        <w:pStyle w:val="13"/>
        <w:jc w:val="center"/>
        <w:rPr>
          <w:rFonts w:ascii="Times New Roman" w:hAnsi="Times New Roman" w:cs="Times New Roman"/>
          <w:sz w:val="72"/>
          <w:szCs w:val="72"/>
        </w:rPr>
      </w:pPr>
    </w:p>
    <w:p w14:paraId="7DE723A0">
      <w:pPr>
        <w:pStyle w:val="13"/>
        <w:jc w:val="center"/>
        <w:rPr>
          <w:rFonts w:ascii="Times New Roman" w:hAnsi="Times New Roman" w:cs="Times New Roman"/>
          <w:sz w:val="72"/>
          <w:szCs w:val="72"/>
        </w:rPr>
      </w:pPr>
    </w:p>
    <w:p w14:paraId="6B26DDC6">
      <w:pPr>
        <w:pStyle w:val="13"/>
        <w:jc w:val="center"/>
        <w:rPr>
          <w:rFonts w:ascii="Times New Roman" w:hAnsi="Times New Roman" w:cs="Times New Roman"/>
          <w:sz w:val="72"/>
          <w:szCs w:val="72"/>
        </w:rPr>
      </w:pPr>
    </w:p>
    <w:p w14:paraId="1904ADF9">
      <w:pPr>
        <w:pStyle w:val="13"/>
        <w:jc w:val="center"/>
        <w:rPr>
          <w:rFonts w:ascii="Times New Roman" w:hAnsi="Times New Roman" w:cs="Times New Roman"/>
          <w:sz w:val="72"/>
          <w:szCs w:val="72"/>
        </w:rPr>
      </w:pPr>
    </w:p>
    <w:p w14:paraId="5265FE85">
      <w:pPr>
        <w:pStyle w:val="13"/>
        <w:jc w:val="center"/>
        <w:rPr>
          <w:rFonts w:ascii="Times New Roman" w:hAnsi="Times New Roman" w:cs="Times New Roman"/>
          <w:sz w:val="72"/>
          <w:szCs w:val="72"/>
        </w:rPr>
      </w:pPr>
    </w:p>
    <w:p w14:paraId="45014675">
      <w:pPr>
        <w:pStyle w:val="13"/>
        <w:jc w:val="center"/>
        <w:rPr>
          <w:rFonts w:ascii="Times New Roman" w:hAnsi="Times New Roman" w:cs="Times New Roman"/>
          <w:sz w:val="72"/>
          <w:szCs w:val="72"/>
        </w:rPr>
      </w:pPr>
    </w:p>
    <w:p w14:paraId="2BE1CF40">
      <w:pPr>
        <w:pStyle w:val="13"/>
        <w:jc w:val="center"/>
        <w:rPr>
          <w:rFonts w:ascii="Times New Roman" w:hAnsi="Times New Roman" w:cs="Times New Roman"/>
          <w:sz w:val="72"/>
          <w:szCs w:val="72"/>
        </w:rPr>
      </w:pPr>
    </w:p>
    <w:p w14:paraId="7A20372E">
      <w:pPr>
        <w:pStyle w:val="13"/>
        <w:jc w:val="center"/>
        <w:rPr>
          <w:rFonts w:ascii="Times New Roman" w:hAnsi="Times New Roman" w:cs="Times New Roman"/>
          <w:sz w:val="72"/>
          <w:szCs w:val="72"/>
        </w:rPr>
      </w:pPr>
    </w:p>
    <w:p w14:paraId="10692155">
      <w:pPr>
        <w:pStyle w:val="13"/>
        <w:jc w:val="center"/>
        <w:rPr>
          <w:rFonts w:ascii="Times New Roman" w:hAnsi="Times New Roman" w:cs="Times New Roman"/>
          <w:sz w:val="72"/>
          <w:szCs w:val="72"/>
        </w:rPr>
      </w:pPr>
    </w:p>
    <w:p w14:paraId="12676BFB">
      <w:pPr>
        <w:pStyle w:val="13"/>
        <w:jc w:val="both"/>
        <w:rPr>
          <w:rFonts w:ascii="Times New Roman" w:hAnsi="Times New Roman" w:cs="Times New Roman"/>
          <w:sz w:val="72"/>
          <w:szCs w:val="72"/>
        </w:rPr>
      </w:pPr>
    </w:p>
    <w:p w14:paraId="419478DC">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34D3C808">
      <w:pPr>
        <w:rPr>
          <w:rFonts w:ascii="Times New Roman" w:hAnsi="Times New Roman" w:cs="Times New Roman"/>
          <w:sz w:val="72"/>
          <w:szCs w:val="72"/>
        </w:rPr>
      </w:pPr>
    </w:p>
    <w:p w14:paraId="139BA982">
      <w:pPr>
        <w:pStyle w:val="13"/>
        <w:spacing w:line="600" w:lineRule="exact"/>
        <w:rPr>
          <w:rFonts w:ascii="Times New Roman" w:hAnsi="Times New Roman" w:eastAsia="仿宋_GB2312" w:cs="Times New Roman"/>
          <w:sz w:val="32"/>
          <w:szCs w:val="32"/>
        </w:rPr>
      </w:pPr>
    </w:p>
    <w:p w14:paraId="5D9C4438">
      <w:pPr>
        <w:pStyle w:val="13"/>
        <w:spacing w:line="600" w:lineRule="exact"/>
        <w:rPr>
          <w:rFonts w:ascii="Times New Roman" w:hAnsi="Times New Roman" w:eastAsia="仿宋_GB2312" w:cs="Times New Roman"/>
          <w:sz w:val="32"/>
          <w:szCs w:val="32"/>
        </w:rPr>
      </w:pPr>
    </w:p>
    <w:p w14:paraId="1143D90A">
      <w:pPr>
        <w:pStyle w:val="13"/>
        <w:spacing w:line="600" w:lineRule="exact"/>
        <w:rPr>
          <w:rFonts w:ascii="Times New Roman" w:hAnsi="Times New Roman" w:eastAsia="仿宋_GB2312" w:cs="Times New Roman"/>
          <w:sz w:val="32"/>
          <w:szCs w:val="32"/>
        </w:rPr>
      </w:pPr>
    </w:p>
    <w:p w14:paraId="4A71ED23">
      <w:pPr>
        <w:pStyle w:val="13"/>
        <w:spacing w:line="600" w:lineRule="exact"/>
        <w:rPr>
          <w:rFonts w:ascii="Times New Roman" w:hAnsi="Times New Roman" w:eastAsia="仿宋_GB2312" w:cs="Times New Roman"/>
          <w:sz w:val="32"/>
          <w:szCs w:val="32"/>
        </w:rPr>
      </w:pPr>
    </w:p>
    <w:p w14:paraId="38310D8C">
      <w:pPr>
        <w:pStyle w:val="13"/>
        <w:spacing w:line="600" w:lineRule="exact"/>
        <w:rPr>
          <w:rFonts w:ascii="Times New Roman" w:hAnsi="Times New Roman" w:eastAsia="仿宋_GB2312" w:cs="Times New Roman"/>
          <w:sz w:val="32"/>
          <w:szCs w:val="32"/>
        </w:rPr>
      </w:pPr>
    </w:p>
    <w:p w14:paraId="3EB677F8">
      <w:pPr>
        <w:pStyle w:val="13"/>
        <w:spacing w:line="600" w:lineRule="exact"/>
        <w:rPr>
          <w:rFonts w:ascii="Times New Roman" w:hAnsi="Times New Roman" w:eastAsia="仿宋_GB2312" w:cs="Times New Roman"/>
          <w:sz w:val="32"/>
          <w:szCs w:val="32"/>
        </w:rPr>
      </w:pPr>
    </w:p>
    <w:p w14:paraId="745A3B53">
      <w:pPr>
        <w:pStyle w:val="13"/>
        <w:spacing w:line="600" w:lineRule="exact"/>
        <w:rPr>
          <w:rFonts w:ascii="Times New Roman" w:hAnsi="Times New Roman" w:eastAsia="仿宋_GB2312" w:cs="Times New Roman"/>
          <w:sz w:val="32"/>
          <w:szCs w:val="32"/>
        </w:rPr>
      </w:pPr>
    </w:p>
    <w:p w14:paraId="438B342C">
      <w:pPr>
        <w:pStyle w:val="13"/>
        <w:spacing w:line="600" w:lineRule="exact"/>
        <w:rPr>
          <w:rFonts w:ascii="Times New Roman" w:hAnsi="Times New Roman" w:eastAsia="仿宋_GB2312" w:cs="Times New Roman"/>
          <w:sz w:val="32"/>
          <w:szCs w:val="32"/>
        </w:rPr>
      </w:pPr>
    </w:p>
    <w:p w14:paraId="6841D942">
      <w:pPr>
        <w:spacing w:line="500" w:lineRule="exact"/>
        <w:jc w:val="center"/>
        <w:rPr>
          <w:rFonts w:ascii="方正小标宋简体" w:hAnsi="黑体" w:eastAsia="方正小标宋简体" w:cs="黑体"/>
          <w:color w:val="000000"/>
          <w:kern w:val="0"/>
          <w:sz w:val="44"/>
          <w:szCs w:val="32"/>
          <w:shd w:val="clear" w:color="auto" w:fill="FFFFFF"/>
        </w:rPr>
      </w:pPr>
    </w:p>
    <w:p w14:paraId="7FD43ADF">
      <w:pPr>
        <w:spacing w:line="500" w:lineRule="exact"/>
        <w:jc w:val="center"/>
        <w:rPr>
          <w:rFonts w:ascii="方正小标宋简体" w:hAnsi="黑体" w:eastAsia="方正小标宋简体" w:cs="黑体"/>
          <w:color w:val="000000"/>
          <w:kern w:val="0"/>
          <w:sz w:val="44"/>
          <w:szCs w:val="32"/>
          <w:shd w:val="clear" w:color="auto" w:fill="FFFFFF"/>
        </w:rPr>
      </w:pPr>
      <w:r>
        <w:rPr>
          <w:rFonts w:ascii="方正小标宋简体" w:hAnsi="黑体" w:eastAsia="方正小标宋简体" w:cs="黑体"/>
          <w:color w:val="000000"/>
          <w:kern w:val="0"/>
          <w:sz w:val="44"/>
          <w:szCs w:val="32"/>
          <w:shd w:val="clear" w:color="auto" w:fill="FFFFFF"/>
        </w:rPr>
        <w:t>202</w:t>
      </w:r>
      <w:r>
        <w:rPr>
          <w:rFonts w:ascii="宋体" w:hAnsi="宋体" w:cs="宋体"/>
          <w:color w:val="000000"/>
          <w:kern w:val="0"/>
          <w:sz w:val="44"/>
          <w:szCs w:val="32"/>
          <w:shd w:val="clear" w:color="auto" w:fill="FFFFFF"/>
        </w:rPr>
        <w:t>4</w:t>
      </w:r>
      <w:r>
        <w:rPr>
          <w:rFonts w:hint="eastAsia" w:ascii="方正小标宋简体" w:hAnsi="黑体" w:eastAsia="方正小标宋简体" w:cs="黑体"/>
          <w:color w:val="000000"/>
          <w:kern w:val="0"/>
          <w:sz w:val="44"/>
          <w:szCs w:val="32"/>
          <w:shd w:val="clear" w:color="auto" w:fill="FFFFFF"/>
        </w:rPr>
        <w:t>年度沅江市法律援助中心</w:t>
      </w:r>
    </w:p>
    <w:p w14:paraId="085E239F">
      <w:pPr>
        <w:spacing w:line="500" w:lineRule="exact"/>
        <w:jc w:val="center"/>
        <w:rPr>
          <w:rFonts w:ascii="方正大标宋简体" w:eastAsia="方正大标宋简体"/>
          <w:sz w:val="44"/>
          <w:szCs w:val="44"/>
        </w:rPr>
      </w:pPr>
      <w:r>
        <w:rPr>
          <w:rFonts w:hint="eastAsia" w:ascii="方正小标宋简体" w:hAnsi="黑体" w:eastAsia="方正小标宋简体" w:cs="黑体"/>
          <w:color w:val="000000"/>
          <w:kern w:val="0"/>
          <w:sz w:val="44"/>
          <w:szCs w:val="32"/>
          <w:shd w:val="clear" w:color="auto" w:fill="FFFFFF"/>
        </w:rPr>
        <w:t>整体支出</w:t>
      </w:r>
      <w:r>
        <w:rPr>
          <w:rFonts w:hint="eastAsia" w:ascii="方正大标宋简体" w:eastAsia="方正大标宋简体"/>
          <w:sz w:val="44"/>
          <w:szCs w:val="44"/>
        </w:rPr>
        <w:t>绩效评价报告</w:t>
      </w:r>
    </w:p>
    <w:p w14:paraId="28A37FD6">
      <w:pPr>
        <w:spacing w:line="500" w:lineRule="exact"/>
        <w:rPr>
          <w:rFonts w:ascii="仿宋_GB2312" w:eastAsia="仿宋_GB2312"/>
          <w:sz w:val="32"/>
          <w:szCs w:val="32"/>
        </w:rPr>
      </w:pPr>
    </w:p>
    <w:p w14:paraId="0D58DCDE">
      <w:pPr>
        <w:spacing w:line="500" w:lineRule="exact"/>
        <w:ind w:firstLine="640" w:firstLineChars="200"/>
        <w:rPr>
          <w:rFonts w:ascii="黑体" w:eastAsia="黑体"/>
          <w:sz w:val="32"/>
          <w:szCs w:val="32"/>
        </w:rPr>
      </w:pPr>
      <w:r>
        <w:rPr>
          <w:rFonts w:hint="eastAsia" w:ascii="黑体" w:eastAsia="黑体"/>
          <w:sz w:val="32"/>
          <w:szCs w:val="32"/>
        </w:rPr>
        <w:t>一、部门基本情况</w:t>
      </w:r>
    </w:p>
    <w:p w14:paraId="4E50E97C">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（一）部门基本情况及</w:t>
      </w:r>
      <w:r>
        <w:rPr>
          <w:rFonts w:ascii="仿宋_GB2312" w:hAnsi="仿宋" w:eastAsia="仿宋_GB2312" w:cs="仿宋"/>
          <w:sz w:val="32"/>
          <w:szCs w:val="32"/>
        </w:rPr>
        <w:t>2024</w:t>
      </w:r>
      <w:r>
        <w:rPr>
          <w:rFonts w:hint="eastAsia" w:ascii="仿宋_GB2312" w:hAnsi="仿宋" w:eastAsia="仿宋_GB2312" w:cs="仿宋"/>
          <w:sz w:val="32"/>
          <w:szCs w:val="32"/>
        </w:rPr>
        <w:t>年履职情况；</w:t>
      </w:r>
    </w:p>
    <w:p w14:paraId="421EAA67">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．主要职能。</w:t>
      </w:r>
    </w:p>
    <w:p w14:paraId="2828D432">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）组织、管理、协调、监督我市的法律援助工作；</w:t>
      </w:r>
    </w:p>
    <w:p w14:paraId="245FE56C">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）对公民申请法律援助事项进行初审，对符合法律援助条件的案件审批、指派；</w:t>
      </w:r>
    </w:p>
    <w:p w14:paraId="6D923906">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）解答法律咨询；</w:t>
      </w:r>
    </w:p>
    <w:p w14:paraId="23BB7F30">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）对重大、复杂、疑难和群体性的法律援助案件及时上报市法律援助中心和市委、市政府；</w:t>
      </w:r>
    </w:p>
    <w:p w14:paraId="6AE30F24">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（5）宣传法律援助制度；</w:t>
      </w:r>
    </w:p>
    <w:p w14:paraId="62DD0F0B">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（6）负责收集并上报本市法律援助信息资料和统计工资等。</w:t>
      </w:r>
    </w:p>
    <w:p w14:paraId="3F4A65A3">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2. 2024</w:t>
      </w:r>
      <w:r>
        <w:rPr>
          <w:rFonts w:hint="eastAsia" w:ascii="仿宋_GB2312" w:hAnsi="仿宋" w:eastAsia="仿宋_GB2312" w:cs="仿宋"/>
          <w:sz w:val="32"/>
          <w:szCs w:val="32"/>
        </w:rPr>
        <w:t>年履职情况</w:t>
      </w:r>
    </w:p>
    <w:p w14:paraId="29BA74F8">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沅江市法律援助中心始终坚持以人民群众为中心，积极履行法律援助职责，为困难群众提供及时、有效的法律服务。截止2024年12月31日，共办理法律援助案件897件，其中民事案件214件，刑事诉讼案件170件，刑事认罪认罚法律帮助案件509件，行政案件4件，涉及受援人897人次，其中妇女146人、老年人101人、残疾人35人、农民工95人、未成年人82人、军人军属2人、少数民族4人；接待来电来访法律咨询1623余人次；共计挽回经济损失564.48万元，为农民工讨薪共计69.25万元。</w:t>
      </w:r>
    </w:p>
    <w:p w14:paraId="2528677A">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（二）部门年度整体支出绩效目标，专项资金绩效目标、其他项目支出绩效目标。</w:t>
      </w:r>
    </w:p>
    <w:p w14:paraId="66C757D1">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部门整体支出绩效目标是办理各类法律援助案件897件，法律援助案件质量达标，受援人满意度达100%，强化宣传引导，提高法律援助知晓率。法律援助中心2024年度积极开展宣传活动，提高法律援助的知晓率和影响力。通过举办法律知识讲座、发放宣传资料、开展法律咨询活动等方式，向群众普及法律援助制度及其申请流程，引导群众依法维权。</w:t>
      </w:r>
    </w:p>
    <w:p w14:paraId="37DFB1C2">
      <w:pPr>
        <w:spacing w:line="500" w:lineRule="exact"/>
        <w:ind w:firstLine="640" w:firstLineChars="200"/>
        <w:rPr>
          <w:rFonts w:ascii="黑体" w:eastAsia="黑体"/>
          <w:sz w:val="32"/>
          <w:szCs w:val="32"/>
        </w:rPr>
      </w:pPr>
      <w:r>
        <w:rPr>
          <w:rFonts w:hint="eastAsia" w:ascii="黑体" w:eastAsia="黑体"/>
          <w:sz w:val="32"/>
          <w:szCs w:val="32"/>
        </w:rPr>
        <w:t>二、一般公共预算支出情况</w:t>
      </w:r>
    </w:p>
    <w:p w14:paraId="20DA4507">
      <w:pPr>
        <w:spacing w:line="500" w:lineRule="exact"/>
        <w:ind w:firstLine="640" w:firstLineChars="200"/>
        <w:rPr>
          <w:rFonts w:ascii="仿宋_GB2312" w:eastAsia="仿宋_GB2312"/>
          <w:sz w:val="32"/>
          <w:szCs w:val="32"/>
        </w:rPr>
      </w:pPr>
      <w:r>
        <w:rPr>
          <w:rFonts w:hint="eastAsia" w:ascii="仿宋_GB2312" w:eastAsia="仿宋_GB2312"/>
          <w:sz w:val="32"/>
          <w:szCs w:val="32"/>
        </w:rPr>
        <w:t>（一）基本支出情况</w:t>
      </w:r>
    </w:p>
    <w:p w14:paraId="46FE08F1">
      <w:pPr>
        <w:spacing w:line="500" w:lineRule="exact"/>
        <w:ind w:firstLine="640" w:firstLineChars="200"/>
        <w:rPr>
          <w:rFonts w:ascii="仿宋_GB2312" w:eastAsia="仿宋_GB2312"/>
          <w:sz w:val="32"/>
          <w:szCs w:val="32"/>
        </w:rPr>
      </w:pPr>
      <w:r>
        <w:rPr>
          <w:rFonts w:ascii="仿宋_GB2312" w:eastAsia="仿宋_GB2312"/>
          <w:sz w:val="32"/>
          <w:szCs w:val="32"/>
        </w:rPr>
        <w:t>2024</w:t>
      </w:r>
      <w:r>
        <w:rPr>
          <w:rFonts w:hint="eastAsia" w:ascii="仿宋_GB2312" w:eastAsia="仿宋_GB2312"/>
          <w:sz w:val="32"/>
          <w:szCs w:val="32"/>
        </w:rPr>
        <w:t>年，本部门基本支出完成84万元，主要是为保障部门正常运转、完成日常工作任务而发生的各项支出。包括用于基本工资、津贴补贴等人员经费以及办公费、印刷费、水电费、办公设备购置等公用经费。</w:t>
      </w:r>
    </w:p>
    <w:p w14:paraId="42FCC73F">
      <w:pPr>
        <w:spacing w:line="500" w:lineRule="exact"/>
        <w:ind w:firstLine="640" w:firstLineChars="200"/>
        <w:rPr>
          <w:rFonts w:ascii="仿宋_GB2312" w:eastAsia="仿宋_GB2312"/>
          <w:sz w:val="32"/>
          <w:szCs w:val="32"/>
        </w:rPr>
      </w:pPr>
      <w:r>
        <w:rPr>
          <w:rFonts w:hint="eastAsia" w:ascii="仿宋_GB2312" w:eastAsia="仿宋_GB2312"/>
          <w:sz w:val="32"/>
          <w:szCs w:val="32"/>
        </w:rPr>
        <w:t>（二）项目支出情况</w:t>
      </w:r>
    </w:p>
    <w:p w14:paraId="6DBFED9C">
      <w:pPr>
        <w:spacing w:line="500" w:lineRule="exact"/>
        <w:ind w:firstLine="640" w:firstLineChars="200"/>
        <w:rPr>
          <w:rFonts w:ascii="仿宋_GB2312" w:eastAsia="仿宋_GB2312"/>
          <w:sz w:val="32"/>
          <w:szCs w:val="32"/>
        </w:rPr>
      </w:pPr>
      <w:r>
        <w:rPr>
          <w:rFonts w:ascii="仿宋_GB2312" w:eastAsia="仿宋_GB2312"/>
          <w:sz w:val="32"/>
          <w:szCs w:val="32"/>
        </w:rPr>
        <w:t>2024</w:t>
      </w:r>
      <w:r>
        <w:rPr>
          <w:rFonts w:hint="eastAsia" w:ascii="仿宋_GB2312" w:eastAsia="仿宋_GB2312"/>
          <w:sz w:val="32"/>
          <w:szCs w:val="32"/>
        </w:rPr>
        <w:t>年项目支出87.44万元，主要是部门为完成发放法律援助案件补贴、认罪认罚法律帮助案件补贴及检察、法院法律援助律师值班补贴而发生的支出。</w:t>
      </w:r>
    </w:p>
    <w:p w14:paraId="108D4D53">
      <w:pPr>
        <w:spacing w:line="500" w:lineRule="exact"/>
        <w:ind w:firstLine="640" w:firstLineChars="200"/>
        <w:rPr>
          <w:rFonts w:ascii="黑体" w:eastAsia="黑体"/>
          <w:sz w:val="32"/>
          <w:szCs w:val="32"/>
        </w:rPr>
      </w:pPr>
      <w:r>
        <w:rPr>
          <w:rFonts w:hint="eastAsia" w:ascii="黑体" w:eastAsia="黑体"/>
          <w:sz w:val="32"/>
          <w:szCs w:val="32"/>
        </w:rPr>
        <w:t>三、政府性基金预算支出情况</w:t>
      </w:r>
    </w:p>
    <w:p w14:paraId="4777B9C5">
      <w:pPr>
        <w:spacing w:line="500" w:lineRule="exact"/>
        <w:ind w:firstLine="640" w:firstLineChars="200"/>
        <w:rPr>
          <w:rFonts w:ascii="黑体" w:eastAsia="黑体"/>
          <w:sz w:val="32"/>
          <w:szCs w:val="32"/>
        </w:rPr>
      </w:pPr>
      <w:r>
        <w:rPr>
          <w:rFonts w:hint="eastAsia" w:ascii="黑体" w:eastAsia="黑体"/>
          <w:sz w:val="32"/>
          <w:szCs w:val="32"/>
        </w:rPr>
        <w:t>无</w:t>
      </w:r>
    </w:p>
    <w:p w14:paraId="43443726">
      <w:pPr>
        <w:spacing w:line="500" w:lineRule="exact"/>
        <w:ind w:firstLine="640" w:firstLineChars="200"/>
        <w:rPr>
          <w:rFonts w:ascii="黑体" w:eastAsia="黑体"/>
          <w:sz w:val="32"/>
          <w:szCs w:val="32"/>
        </w:rPr>
      </w:pPr>
      <w:r>
        <w:rPr>
          <w:rFonts w:hint="eastAsia" w:ascii="黑体" w:eastAsia="黑体"/>
          <w:sz w:val="32"/>
          <w:szCs w:val="32"/>
        </w:rPr>
        <w:t>四、国有资本经营预算支出情况</w:t>
      </w:r>
    </w:p>
    <w:p w14:paraId="7C0FCF4D">
      <w:pPr>
        <w:spacing w:line="500" w:lineRule="exact"/>
        <w:ind w:firstLine="640" w:firstLineChars="200"/>
        <w:rPr>
          <w:rFonts w:ascii="黑体" w:eastAsia="黑体"/>
          <w:sz w:val="32"/>
          <w:szCs w:val="32"/>
        </w:rPr>
      </w:pPr>
      <w:r>
        <w:rPr>
          <w:rFonts w:hint="eastAsia" w:ascii="黑体" w:eastAsia="黑体"/>
          <w:sz w:val="32"/>
          <w:szCs w:val="32"/>
        </w:rPr>
        <w:t>无</w:t>
      </w:r>
    </w:p>
    <w:p w14:paraId="65EEB4F6">
      <w:pPr>
        <w:spacing w:line="500" w:lineRule="exact"/>
        <w:ind w:firstLine="640" w:firstLineChars="200"/>
        <w:rPr>
          <w:rFonts w:ascii="黑体" w:eastAsia="黑体"/>
          <w:sz w:val="32"/>
          <w:szCs w:val="32"/>
        </w:rPr>
      </w:pPr>
      <w:r>
        <w:rPr>
          <w:rFonts w:hint="eastAsia" w:ascii="黑体" w:eastAsia="黑体"/>
          <w:sz w:val="32"/>
          <w:szCs w:val="32"/>
        </w:rPr>
        <w:t>五、社会保险基金预算支出情况</w:t>
      </w:r>
    </w:p>
    <w:p w14:paraId="172DC9EB">
      <w:pPr>
        <w:spacing w:line="500" w:lineRule="exact"/>
        <w:ind w:firstLine="640" w:firstLineChars="200"/>
        <w:rPr>
          <w:rFonts w:ascii="黑体" w:eastAsia="黑体"/>
          <w:sz w:val="32"/>
          <w:szCs w:val="32"/>
        </w:rPr>
      </w:pPr>
      <w:r>
        <w:rPr>
          <w:rFonts w:hint="eastAsia" w:ascii="黑体" w:eastAsia="黑体"/>
          <w:sz w:val="32"/>
          <w:szCs w:val="32"/>
        </w:rPr>
        <w:t>无</w:t>
      </w:r>
    </w:p>
    <w:p w14:paraId="41AC3550">
      <w:pPr>
        <w:spacing w:line="500" w:lineRule="exact"/>
        <w:ind w:firstLine="640" w:firstLineChars="200"/>
        <w:rPr>
          <w:rFonts w:ascii="黑体" w:eastAsia="黑体"/>
          <w:sz w:val="32"/>
          <w:szCs w:val="32"/>
        </w:rPr>
      </w:pPr>
      <w:r>
        <w:rPr>
          <w:rFonts w:hint="eastAsia" w:ascii="黑体" w:eastAsia="黑体"/>
          <w:sz w:val="32"/>
          <w:szCs w:val="32"/>
        </w:rPr>
        <w:t>六、部门整体支出绩效情况</w:t>
      </w:r>
    </w:p>
    <w:p w14:paraId="0D0C33F2">
      <w:pPr>
        <w:spacing w:line="500" w:lineRule="exact"/>
        <w:ind w:firstLine="640" w:firstLineChars="200"/>
        <w:rPr>
          <w:rFonts w:ascii="黑体" w:eastAsia="黑体"/>
          <w:sz w:val="32"/>
          <w:szCs w:val="32"/>
        </w:rPr>
      </w:pPr>
      <w:r>
        <w:rPr>
          <w:rFonts w:hint="eastAsia" w:ascii="黑体" w:eastAsia="黑体"/>
          <w:sz w:val="32"/>
          <w:szCs w:val="32"/>
        </w:rPr>
        <w:t>（一）部门整体支出绩效自评</w:t>
      </w:r>
    </w:p>
    <w:p w14:paraId="309BA8EF">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财务制度健全，管理规范，账务处理及时，会计核算规范。专项自己严格按照国家规定的项目资金相关法律法规的规定和要求使用，确保专项资金专款专用。一是严格执行项目预、结算制度。二是严格按照既定的项目实施方案，及时完善项目管理制度，认真开展财务决算工作，充分发挥资金的使用效益。</w:t>
      </w:r>
    </w:p>
    <w:p w14:paraId="5325FBD9">
      <w:pPr>
        <w:widowControl/>
        <w:spacing w:line="560" w:lineRule="exact"/>
        <w:ind w:firstLine="640" w:firstLineChars="20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1</w:t>
      </w:r>
      <w:r>
        <w:rPr>
          <w:rFonts w:hint="eastAsia" w:ascii="仿宋_GB2312" w:hAnsi="仿宋" w:eastAsia="仿宋_GB2312" w:cs="仿宋"/>
          <w:color w:val="000000"/>
          <w:kern w:val="0"/>
          <w:sz w:val="32"/>
          <w:szCs w:val="32"/>
        </w:rPr>
        <w:t>、加强预算管理，确保收支按预算执行，加强专项资金清理整合。</w:t>
      </w:r>
    </w:p>
    <w:p w14:paraId="5CCF7A43">
      <w:pPr>
        <w:widowControl/>
        <w:spacing w:line="560" w:lineRule="exact"/>
        <w:ind w:firstLine="640" w:firstLineChars="20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2</w:t>
      </w:r>
      <w:r>
        <w:rPr>
          <w:rFonts w:hint="eastAsia" w:ascii="仿宋_GB2312" w:hAnsi="仿宋" w:eastAsia="仿宋_GB2312" w:cs="仿宋"/>
          <w:color w:val="000000"/>
          <w:kern w:val="0"/>
          <w:sz w:val="32"/>
          <w:szCs w:val="32"/>
        </w:rPr>
        <w:t>、充分发挥财政职能，支持党校工作发展。</w:t>
      </w:r>
    </w:p>
    <w:p w14:paraId="6F3A27A7">
      <w:pPr>
        <w:widowControl/>
        <w:spacing w:line="560" w:lineRule="exact"/>
        <w:ind w:firstLine="640" w:firstLineChars="20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3</w:t>
      </w:r>
      <w:r>
        <w:rPr>
          <w:rFonts w:hint="eastAsia" w:ascii="仿宋_GB2312" w:hAnsi="仿宋" w:eastAsia="仿宋_GB2312" w:cs="仿宋"/>
          <w:color w:val="000000"/>
          <w:kern w:val="0"/>
          <w:sz w:val="32"/>
          <w:szCs w:val="32"/>
        </w:rPr>
        <w:t>、全面实施绩效管理。推进绩效管理与预算管理紧密结合，实行预算编制、执行、监督全过程的绩效管理工作机制；强化预算支出主体责任，着力提升绩效目标质量；切实强化结果应用，将绩效目标审核结果作为年度安排预算的重要依据，切实提高财政资金使用绩效。</w:t>
      </w:r>
    </w:p>
    <w:p w14:paraId="6E434AB8">
      <w:pPr>
        <w:spacing w:line="500" w:lineRule="exact"/>
        <w:ind w:firstLine="640" w:firstLineChars="200"/>
        <w:rPr>
          <w:rFonts w:ascii="黑体" w:eastAsia="黑体"/>
          <w:sz w:val="32"/>
          <w:szCs w:val="32"/>
        </w:rPr>
      </w:pPr>
      <w:r>
        <w:rPr>
          <w:rFonts w:hint="eastAsia" w:ascii="黑体" w:eastAsia="黑体"/>
          <w:sz w:val="32"/>
          <w:szCs w:val="32"/>
        </w:rPr>
        <w:t>（二）项目支出绩效自评</w:t>
      </w:r>
    </w:p>
    <w:p w14:paraId="2D0765BF">
      <w:pPr>
        <w:pStyle w:val="8"/>
        <w:widowControl/>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专项资金实行“专人管理、专账核算、专项使用”。专项资金实行报账制，资金拨付一律转账结算，杜绝现金支付。资金的拨付本着专款专用的原则，严格执行项目资金批准的使用计划和项目批复内容，不准擅自调项、扩项、缩项，更不准拆借、挪用、挤占和随意扣押；资金拨付动向，按不同专项资金的要求执行，不准任意改变；特殊情况，必须请示。</w:t>
      </w:r>
    </w:p>
    <w:p w14:paraId="0712DA72">
      <w:pPr>
        <w:pStyle w:val="8"/>
        <w:widowControl/>
        <w:spacing w:before="0" w:beforeAutospacing="0" w:after="0" w:afterAutospacing="0" w:line="56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严格专项资金初审、审核、审核制度，不准缺项和越程序办理手续，各类专项资金审批程序，以该专项资金审批表所列内容和文件要求为准。对专项资金要定期或不定期进行督查，确保项目资金专款专用，要全程参与项目验收和采购项目交接。</w:t>
      </w:r>
    </w:p>
    <w:p w14:paraId="51867DC4">
      <w:pPr>
        <w:spacing w:line="500" w:lineRule="exact"/>
        <w:ind w:firstLine="640" w:firstLineChars="200"/>
        <w:rPr>
          <w:rFonts w:ascii="黑体" w:eastAsia="黑体"/>
          <w:sz w:val="32"/>
          <w:szCs w:val="32"/>
        </w:rPr>
      </w:pPr>
      <w:r>
        <w:rPr>
          <w:rFonts w:hint="eastAsia" w:ascii="黑体" w:eastAsia="黑体"/>
          <w:sz w:val="32"/>
          <w:szCs w:val="32"/>
        </w:rPr>
        <w:t>七、存在的问题及原因分析</w:t>
      </w:r>
    </w:p>
    <w:p w14:paraId="2F35320D">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财政收入规模单一，收入结构不合理，财政管理还不很规范，财经纪律还有待进一步加强。专业技术知识有待提高，管理经验不足。资金使用效益有待进一步提高，绩效目标设立不够明确、细化和量化，实际工作完成效益不高。上级主管部门指导作用发挥不够，各工作部门之间，缺乏有效沟通与配合，统一组织协调工作有待加强。</w:t>
      </w:r>
    </w:p>
    <w:p w14:paraId="194953C4">
      <w:pPr>
        <w:spacing w:line="500" w:lineRule="exact"/>
        <w:ind w:firstLine="640" w:firstLineChars="200"/>
        <w:rPr>
          <w:rFonts w:ascii="黑体" w:eastAsia="黑体"/>
          <w:sz w:val="32"/>
          <w:szCs w:val="32"/>
        </w:rPr>
      </w:pPr>
      <w:r>
        <w:rPr>
          <w:rFonts w:hint="eastAsia" w:ascii="黑体" w:eastAsia="黑体"/>
          <w:sz w:val="32"/>
          <w:szCs w:val="32"/>
        </w:rPr>
        <w:t>八、下一步改进措施</w:t>
      </w:r>
    </w:p>
    <w:p w14:paraId="70DB6635">
      <w:pPr>
        <w:widowControl/>
        <w:spacing w:line="560" w:lineRule="exact"/>
        <w:ind w:firstLine="640" w:firstLineChars="20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1</w:t>
      </w:r>
      <w:r>
        <w:rPr>
          <w:rFonts w:hint="eastAsia" w:ascii="仿宋_GB2312" w:hAnsi="仿宋" w:eastAsia="仿宋_GB2312" w:cs="仿宋"/>
          <w:color w:val="000000"/>
          <w:kern w:val="0"/>
          <w:sz w:val="32"/>
          <w:szCs w:val="32"/>
        </w:rPr>
        <w:t>、提高认识。加强预算及预算绩效管理理论、政策的宣传学习培训，进一步提高对绩效管理的认识，提升相关业务工作人员的能力水平，增强预算编制、执行的科学性、准确性、严肃性，做好预算绩效管理经验的总结、提升，不断提高预算绩效管理水平。</w:t>
      </w:r>
    </w:p>
    <w:p w14:paraId="73F52819">
      <w:pPr>
        <w:widowControl/>
        <w:spacing w:line="560" w:lineRule="exact"/>
        <w:ind w:firstLine="640" w:firstLineChars="200"/>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2</w:t>
      </w:r>
      <w:r>
        <w:rPr>
          <w:rFonts w:hint="eastAsia" w:ascii="仿宋_GB2312" w:hAnsi="仿宋" w:eastAsia="仿宋_GB2312" w:cs="仿宋"/>
          <w:color w:val="000000"/>
          <w:kern w:val="0"/>
          <w:sz w:val="32"/>
          <w:szCs w:val="32"/>
        </w:rPr>
        <w:t>、加强制度建设。完善机关现有财务管理制度，加强绩效评价结果应用，推进预算绩效管理实现全过程、全覆盖，用制度管好预算资金的安排、分配和使用，加强项目库管理，尤其是跨年项目的资金安排，抓好各项制度的执行落实，加强预算执行的监督、监控和调剂调整，及时化解预算执行过程中可能出现的问题和风险。</w:t>
      </w:r>
    </w:p>
    <w:p w14:paraId="5C095981">
      <w:pPr>
        <w:widowControl/>
        <w:spacing w:line="560" w:lineRule="exact"/>
        <w:ind w:firstLine="640" w:firstLineChars="200"/>
        <w:rPr>
          <w:rFonts w:ascii="黑体" w:eastAsia="黑体"/>
          <w:sz w:val="32"/>
          <w:szCs w:val="32"/>
        </w:rPr>
      </w:pPr>
      <w:r>
        <w:rPr>
          <w:rFonts w:hint="eastAsia" w:ascii="黑体" w:eastAsia="黑体"/>
          <w:sz w:val="32"/>
          <w:szCs w:val="32"/>
        </w:rPr>
        <w:t>九、绩效自评结果拟应用和公开情况</w:t>
      </w:r>
    </w:p>
    <w:p w14:paraId="076C7ADA">
      <w:pPr>
        <w:widowControl/>
        <w:spacing w:line="56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专项自己总体评价，项目科学合理，项目管理规范，项目监督到位，项目完成较好，项目质量较高。</w:t>
      </w:r>
    </w:p>
    <w:p w14:paraId="27D23DF2">
      <w:pPr>
        <w:widowControl/>
        <w:spacing w:line="560" w:lineRule="exact"/>
        <w:ind w:firstLine="640" w:firstLineChars="200"/>
        <w:rPr>
          <w:rFonts w:ascii="黑体" w:eastAsia="黑体"/>
          <w:sz w:val="32"/>
          <w:szCs w:val="32"/>
        </w:rPr>
      </w:pPr>
      <w:r>
        <w:rPr>
          <w:rFonts w:hint="eastAsia" w:ascii="黑体" w:eastAsia="黑体"/>
          <w:sz w:val="32"/>
          <w:szCs w:val="32"/>
        </w:rPr>
        <w:t>十、其他需要说明的情况</w:t>
      </w:r>
    </w:p>
    <w:p w14:paraId="003D3758">
      <w:pPr>
        <w:widowControl/>
        <w:spacing w:line="560" w:lineRule="exact"/>
        <w:ind w:firstLine="640" w:firstLineChars="200"/>
        <w:rPr>
          <w:rFonts w:ascii="仿宋_GB2312" w:hAnsi="仿宋" w:eastAsia="仿宋_GB2312" w:cs="仿宋"/>
          <w:color w:val="000000"/>
          <w:kern w:val="0"/>
          <w:sz w:val="32"/>
          <w:szCs w:val="32"/>
        </w:rPr>
      </w:pPr>
    </w:p>
    <w:p w14:paraId="3043C496">
      <w:pPr>
        <w:widowControl/>
        <w:spacing w:line="560" w:lineRule="exact"/>
        <w:ind w:firstLine="640" w:firstLineChars="200"/>
        <w:rPr>
          <w:rFonts w:ascii="仿宋_GB2312" w:hAnsi="仿宋" w:eastAsia="仿宋_GB2312" w:cs="仿宋"/>
          <w:color w:val="000000"/>
          <w:kern w:val="0"/>
          <w:sz w:val="32"/>
          <w:szCs w:val="32"/>
        </w:rPr>
      </w:pPr>
    </w:p>
    <w:p w14:paraId="6B21D517">
      <w:pPr>
        <w:widowControl/>
        <w:wordWrap w:val="0"/>
        <w:spacing w:line="560" w:lineRule="exact"/>
        <w:ind w:firstLine="640" w:firstLineChars="200"/>
        <w:jc w:val="right"/>
        <w:rPr>
          <w:rFonts w:ascii="Times New Roman" w:hAnsi="Times New Roman" w:cs="Times New Roman"/>
          <w:color w:val="000000"/>
          <w:kern w:val="0"/>
          <w:sz w:val="32"/>
          <w:szCs w:val="32"/>
        </w:rPr>
      </w:pPr>
      <w:r>
        <w:rPr>
          <w:rFonts w:ascii="仿宋_GB2312" w:hAnsi="仿宋" w:eastAsia="仿宋_GB2312" w:cs="仿宋"/>
          <w:color w:val="000000"/>
          <w:kern w:val="0"/>
          <w:sz w:val="32"/>
          <w:szCs w:val="32"/>
        </w:rPr>
        <w:t xml:space="preserve"> </w:t>
      </w:r>
      <w:bookmarkStart w:id="0" w:name="_GoBack"/>
      <w:bookmarkEnd w:id="0"/>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E480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9D2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E908">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B2E98">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1302B">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311302B">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84089C"/>
    <w:rsid w:val="07323DEB"/>
    <w:rsid w:val="082717D5"/>
    <w:rsid w:val="164D1414"/>
    <w:rsid w:val="173E4421"/>
    <w:rsid w:val="1D97DEFF"/>
    <w:rsid w:val="1DFF72E5"/>
    <w:rsid w:val="1EFC6F07"/>
    <w:rsid w:val="1FBB07ED"/>
    <w:rsid w:val="26907874"/>
    <w:rsid w:val="2D2535DF"/>
    <w:rsid w:val="2FDF85B8"/>
    <w:rsid w:val="2FFFEE04"/>
    <w:rsid w:val="34DF85B0"/>
    <w:rsid w:val="359D6D3A"/>
    <w:rsid w:val="3B8F36BC"/>
    <w:rsid w:val="3E44710C"/>
    <w:rsid w:val="3F491C06"/>
    <w:rsid w:val="40723D23"/>
    <w:rsid w:val="48645AFB"/>
    <w:rsid w:val="491FF225"/>
    <w:rsid w:val="4D964758"/>
    <w:rsid w:val="4FFD214C"/>
    <w:rsid w:val="549E3CFC"/>
    <w:rsid w:val="55C40C9B"/>
    <w:rsid w:val="5777D4F5"/>
    <w:rsid w:val="59DD8326"/>
    <w:rsid w:val="5CBB2F49"/>
    <w:rsid w:val="5DEF592A"/>
    <w:rsid w:val="5FC6BB1E"/>
    <w:rsid w:val="5FF720F1"/>
    <w:rsid w:val="61C40F61"/>
    <w:rsid w:val="66855163"/>
    <w:rsid w:val="67FF5C0B"/>
    <w:rsid w:val="6D8217B7"/>
    <w:rsid w:val="6EFC0924"/>
    <w:rsid w:val="6F974D1A"/>
    <w:rsid w:val="6FB74722"/>
    <w:rsid w:val="6FEF8B7E"/>
    <w:rsid w:val="71A6591B"/>
    <w:rsid w:val="737D59BA"/>
    <w:rsid w:val="77C37683"/>
    <w:rsid w:val="78174378"/>
    <w:rsid w:val="79D19834"/>
    <w:rsid w:val="79FF515B"/>
    <w:rsid w:val="7CF36E72"/>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uiPriority w:val="0"/>
    <w:pPr>
      <w:spacing w:before="100" w:beforeAutospacing="1" w:after="100" w:afterAutospacing="1"/>
      <w:jc w:val="left"/>
    </w:pPr>
    <w:rPr>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6599</Words>
  <Characters>7022</Characters>
  <Lines>69</Lines>
  <Paragraphs>19</Paragraphs>
  <TotalTime>0</TotalTime>
  <ScaleCrop>false</ScaleCrop>
  <LinksUpToDate>false</LinksUpToDate>
  <CharactersWithSpaces>7061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心晴</cp:lastModifiedBy>
  <cp:lastPrinted>2024-08-08T18:20:00Z</cp:lastPrinted>
  <dcterms:modified xsi:type="dcterms:W3CDTF">2025-10-16T02:50:46Z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0F078E57D7664DBD9D4BFE7390A76960_13</vt:lpwstr>
  </property>
  <property fmtid="{D5CDD505-2E9C-101B-9397-08002B2CF9AE}" pid="4" name="KSOTemplateDocerSaveRecord">
    <vt:lpwstr>eyJoZGlkIjoiMDA0NWM0ZGY1NDI5Njk5Njk5NzEzMTA4MjdjODQxOGEiLCJ1c2VySWQiOiIzODk0NjE2MzYifQ==</vt:lpwstr>
  </property>
</Properties>
</file>