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AFC2C">
      <w:pPr>
        <w:pStyle w:val="13"/>
        <w:jc w:val="both"/>
        <w:rPr>
          <w:rFonts w:hAnsi="黑体"/>
          <w:sz w:val="36"/>
          <w:szCs w:val="36"/>
        </w:rPr>
      </w:pPr>
      <w:r>
        <w:rPr>
          <w:rFonts w:hint="eastAsia" w:hAnsi="黑体"/>
          <w:sz w:val="36"/>
          <w:szCs w:val="36"/>
        </w:rPr>
        <w:t>附件1</w:t>
      </w:r>
    </w:p>
    <w:p w14:paraId="4DF99991">
      <w:pPr>
        <w:pStyle w:val="13"/>
        <w:jc w:val="center"/>
        <w:rPr>
          <w:rFonts w:ascii="Times New Roman" w:hAnsi="Times New Roman" w:cs="Times New Roman"/>
          <w:sz w:val="56"/>
          <w:szCs w:val="56"/>
        </w:rPr>
      </w:pPr>
    </w:p>
    <w:p w14:paraId="501405DC">
      <w:pPr>
        <w:pStyle w:val="13"/>
        <w:jc w:val="center"/>
        <w:rPr>
          <w:rFonts w:ascii="Times New Roman" w:hAnsi="Times New Roman" w:cs="Times New Roman"/>
          <w:sz w:val="84"/>
          <w:szCs w:val="84"/>
        </w:rPr>
      </w:pPr>
    </w:p>
    <w:p w14:paraId="0DFCCBE3">
      <w:pPr>
        <w:pStyle w:val="13"/>
        <w:jc w:val="center"/>
        <w:rPr>
          <w:rFonts w:ascii="Times New Roman" w:hAnsi="Times New Roman" w:cs="Times New Roman"/>
          <w:sz w:val="84"/>
          <w:szCs w:val="84"/>
        </w:rPr>
      </w:pPr>
    </w:p>
    <w:p w14:paraId="60D176DE">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FC5CE09">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沅江市老干部休养活动中心</w:t>
      </w:r>
      <w:r>
        <w:rPr>
          <w:rFonts w:ascii="Times New Roman" w:hAnsi="Times New Roman" w:eastAsia="方正小标宋简体" w:cs="Times New Roman"/>
          <w:sz w:val="72"/>
          <w:szCs w:val="72"/>
        </w:rPr>
        <w:t>部门决算</w:t>
      </w:r>
    </w:p>
    <w:p w14:paraId="14252D8E">
      <w:pPr>
        <w:pStyle w:val="13"/>
        <w:jc w:val="center"/>
        <w:rPr>
          <w:rFonts w:ascii="Times New Roman" w:hAnsi="Times New Roman" w:eastAsia="方正小标宋_GBK" w:cs="Times New Roman"/>
          <w:sz w:val="56"/>
          <w:szCs w:val="56"/>
        </w:rPr>
      </w:pPr>
    </w:p>
    <w:p w14:paraId="19475F08">
      <w:pPr>
        <w:pStyle w:val="13"/>
        <w:jc w:val="center"/>
        <w:rPr>
          <w:rFonts w:ascii="Times New Roman" w:hAnsi="Times New Roman" w:cs="Times New Roman"/>
          <w:sz w:val="56"/>
          <w:szCs w:val="56"/>
        </w:rPr>
      </w:pPr>
    </w:p>
    <w:p w14:paraId="1DE8B851">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CB0CD6B">
      <w:pPr>
        <w:pStyle w:val="13"/>
        <w:spacing w:line="600" w:lineRule="exact"/>
        <w:jc w:val="both"/>
        <w:rPr>
          <w:rFonts w:ascii="Times New Roman" w:hAnsi="Times New Roman" w:cs="Times New Roman"/>
          <w:b/>
          <w:sz w:val="36"/>
          <w:szCs w:val="28"/>
        </w:rPr>
      </w:pPr>
    </w:p>
    <w:p w14:paraId="6D506343">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CB8CD99">
      <w:pPr>
        <w:pStyle w:val="13"/>
        <w:spacing w:line="600" w:lineRule="exact"/>
        <w:jc w:val="center"/>
        <w:rPr>
          <w:rFonts w:ascii="Times New Roman" w:hAnsi="Times New Roman" w:cs="Times New Roman"/>
          <w:b/>
          <w:sz w:val="36"/>
          <w:szCs w:val="28"/>
        </w:rPr>
      </w:pPr>
    </w:p>
    <w:p w14:paraId="21182657">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沅江市老干部休养活动中心</w:t>
      </w:r>
      <w:r>
        <w:rPr>
          <w:rFonts w:ascii="Times New Roman" w:hAnsi="Times New Roman" w:cs="Times New Roman"/>
          <w:bCs/>
          <w:sz w:val="32"/>
          <w:szCs w:val="32"/>
        </w:rPr>
        <w:t>概况</w:t>
      </w:r>
    </w:p>
    <w:p w14:paraId="4B9CE96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5E6126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EC3D4B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7BBC2D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419AF5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BF46D1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817692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17EDED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8B11AC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3F6A31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194477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E7D247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0D80C4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77D0B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0BB0BE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88121B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892CA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08E064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8C93A6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72CE7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1BBA6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679C2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7A3B09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B0F743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741CD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6AF883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4C9D8E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49BC97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4CD6EA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0242946">
      <w:pPr>
        <w:pStyle w:val="13"/>
        <w:spacing w:line="600" w:lineRule="exact"/>
        <w:rPr>
          <w:rFonts w:ascii="Times New Roman" w:hAnsi="Times New Roman" w:cs="Times New Roman"/>
          <w:bCs/>
          <w:sz w:val="28"/>
          <w:szCs w:val="28"/>
        </w:rPr>
      </w:pPr>
    </w:p>
    <w:p w14:paraId="255810A4">
      <w:pPr>
        <w:jc w:val="center"/>
        <w:rPr>
          <w:rFonts w:ascii="Times New Roman" w:hAnsi="Times New Roman" w:cs="Times New Roman"/>
          <w:sz w:val="72"/>
          <w:szCs w:val="72"/>
        </w:rPr>
      </w:pPr>
    </w:p>
    <w:p w14:paraId="17ABCA91">
      <w:pPr>
        <w:jc w:val="center"/>
        <w:rPr>
          <w:rFonts w:ascii="Times New Roman" w:hAnsi="Times New Roman" w:cs="Times New Roman"/>
          <w:sz w:val="72"/>
          <w:szCs w:val="72"/>
        </w:rPr>
      </w:pPr>
    </w:p>
    <w:p w14:paraId="6B64B872">
      <w:pPr>
        <w:jc w:val="center"/>
        <w:rPr>
          <w:rFonts w:ascii="Times New Roman" w:hAnsi="Times New Roman" w:cs="Times New Roman"/>
          <w:sz w:val="72"/>
          <w:szCs w:val="72"/>
        </w:rPr>
      </w:pPr>
    </w:p>
    <w:p w14:paraId="739AB67E">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3D976BF">
      <w:pPr>
        <w:rPr>
          <w:rFonts w:ascii="Times New Roman" w:hAnsi="Times New Roman" w:eastAsia="方正小标宋_GBK" w:cs="Times New Roman"/>
          <w:sz w:val="72"/>
          <w:szCs w:val="72"/>
        </w:rPr>
      </w:pPr>
    </w:p>
    <w:p w14:paraId="621FA12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0C1DEB2">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沅江市老干部休养活动中心</w:t>
      </w:r>
      <w:r>
        <w:rPr>
          <w:rFonts w:ascii="Times New Roman" w:hAnsi="Times New Roman" w:eastAsia="方正小标宋_GBK" w:cs="Times New Roman"/>
          <w:sz w:val="52"/>
          <w:szCs w:val="52"/>
        </w:rPr>
        <w:t>概况</w:t>
      </w:r>
    </w:p>
    <w:p w14:paraId="7B1A84F8">
      <w:pPr>
        <w:pStyle w:val="3"/>
        <w:ind w:left="0" w:leftChars="0" w:firstLine="0" w:firstLineChars="0"/>
        <w:rPr>
          <w:rFonts w:ascii="Times New Roman" w:hAnsi="Times New Roman" w:cs="Times New Roman"/>
        </w:rPr>
      </w:pPr>
    </w:p>
    <w:p w14:paraId="3416F3DD">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27FED54">
      <w:pPr>
        <w:widowControl/>
        <w:autoSpaceDE w:val="0"/>
        <w:autoSpaceDN w:val="0"/>
        <w:adjustRightInd w:val="0"/>
        <w:spacing w:line="56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（1）组织、管理、协调、服务我市的老干工作；</w:t>
      </w:r>
    </w:p>
    <w:p w14:paraId="6C44BBE9">
      <w:pPr>
        <w:widowControl/>
        <w:autoSpaceDE w:val="0"/>
        <w:autoSpaceDN w:val="0"/>
        <w:adjustRightInd w:val="0"/>
        <w:spacing w:line="56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2</w:t>
      </w:r>
      <w:r>
        <w:rPr>
          <w:rFonts w:hint="eastAsia" w:ascii="仿宋" w:hAnsi="仿宋" w:eastAsia="仿宋" w:cs="宋体"/>
          <w:sz w:val="32"/>
          <w:szCs w:val="32"/>
        </w:rPr>
        <w:t>）落实离退休干部的政治生活待遇，组织离退休老干部发挥作用和开展活动，加强老干部工作队伍自身建设等。</w:t>
      </w:r>
    </w:p>
    <w:p w14:paraId="1B155999">
      <w:pPr>
        <w:widowControl/>
        <w:autoSpaceDE w:val="0"/>
        <w:autoSpaceDN w:val="0"/>
        <w:adjustRightInd w:val="0"/>
        <w:spacing w:line="56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3</w:t>
      </w:r>
      <w:r>
        <w:rPr>
          <w:rFonts w:hint="eastAsia" w:ascii="仿宋" w:hAnsi="仿宋" w:eastAsia="仿宋" w:cs="宋体"/>
          <w:sz w:val="32"/>
          <w:szCs w:val="32"/>
        </w:rPr>
        <w:t>）宣传老干部活动中心工作。</w:t>
      </w:r>
    </w:p>
    <w:p w14:paraId="3223D0D1">
      <w:pPr>
        <w:widowControl/>
        <w:autoSpaceDE w:val="0"/>
        <w:autoSpaceDN w:val="0"/>
        <w:adjustRightInd w:val="0"/>
        <w:spacing w:line="56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（4）老年大学教育工作</w:t>
      </w:r>
    </w:p>
    <w:p w14:paraId="0D153357">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4C3CF9E">
      <w:pPr>
        <w:widowControl/>
        <w:spacing w:line="600" w:lineRule="exact"/>
        <w:ind w:firstLine="964" w:firstLineChars="300"/>
        <w:rPr>
          <w:rFonts w:hint="eastAsia" w:ascii="仿宋" w:hAnsi="仿宋" w:eastAsia="仿宋" w:cs="仿宋"/>
          <w:bCs/>
          <w:kern w:val="0"/>
          <w:sz w:val="32"/>
          <w:szCs w:val="32"/>
        </w:rPr>
      </w:pPr>
      <w:r>
        <w:rPr>
          <w:rFonts w:hint="eastAsia" w:ascii="楷体" w:hAnsi="楷体" w:eastAsia="楷体"/>
          <w:b/>
          <w:bCs/>
          <w:kern w:val="0"/>
          <w:sz w:val="32"/>
          <w:szCs w:val="32"/>
        </w:rPr>
        <w:t>一）内设机构设置。</w:t>
      </w:r>
      <w:r>
        <w:rPr>
          <w:rFonts w:hint="eastAsia" w:ascii="仿宋" w:hAnsi="仿宋" w:eastAsia="仿宋" w:cs="仿宋"/>
          <w:bCs/>
          <w:kern w:val="0"/>
          <w:sz w:val="32"/>
          <w:szCs w:val="32"/>
        </w:rPr>
        <w:t>我单位设4个内设机构,分别为办公室、教育股、活动股、休养后勤所。202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年本单位为财政全额拨款事业单位组成。</w:t>
      </w:r>
    </w:p>
    <w:p w14:paraId="4ECFCD59">
      <w:pPr>
        <w:widowControl/>
        <w:spacing w:line="600" w:lineRule="exact"/>
        <w:ind w:firstLine="964" w:firstLineChars="300"/>
        <w:rPr>
          <w:rFonts w:hint="eastAsia" w:ascii="仿宋" w:hAnsi="仿宋" w:eastAsia="仿宋" w:cs="仿宋"/>
          <w:bCs/>
          <w:kern w:val="0"/>
          <w:sz w:val="32"/>
          <w:szCs w:val="32"/>
        </w:rPr>
      </w:pPr>
      <w:r>
        <w:rPr>
          <w:rFonts w:hint="eastAsia" w:ascii="楷体" w:hAnsi="楷体" w:eastAsia="楷体" w:cs="楷体"/>
          <w:b/>
          <w:bCs w:val="0"/>
          <w:kern w:val="0"/>
          <w:sz w:val="32"/>
          <w:szCs w:val="32"/>
        </w:rPr>
        <w:t>（二）决算单位构成。</w:t>
      </w:r>
      <w:r>
        <w:rPr>
          <w:rFonts w:hint="eastAsia" w:ascii="仿宋" w:hAnsi="仿宋" w:eastAsia="仿宋" w:cs="仿宋"/>
          <w:bCs/>
          <w:kern w:val="0"/>
          <w:sz w:val="32"/>
          <w:szCs w:val="32"/>
          <w:lang w:eastAsia="zh-CN"/>
        </w:rPr>
        <w:t>沅江市老干部休养活动中心</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年部门决算汇总公开单位构成包括：</w:t>
      </w:r>
      <w:r>
        <w:rPr>
          <w:rFonts w:hint="eastAsia" w:ascii="仿宋" w:hAnsi="仿宋" w:eastAsia="仿宋" w:cs="仿宋"/>
          <w:bCs/>
          <w:kern w:val="0"/>
          <w:sz w:val="32"/>
          <w:szCs w:val="32"/>
          <w:lang w:eastAsia="zh-CN"/>
        </w:rPr>
        <w:t>沅江市老干部休养活动中心</w:t>
      </w:r>
      <w:r>
        <w:rPr>
          <w:rFonts w:hint="eastAsia" w:ascii="仿宋" w:hAnsi="仿宋" w:eastAsia="仿宋" w:cs="仿宋"/>
          <w:bCs/>
          <w:kern w:val="0"/>
          <w:sz w:val="32"/>
          <w:szCs w:val="32"/>
        </w:rPr>
        <w:t>本级。</w:t>
      </w:r>
    </w:p>
    <w:p w14:paraId="54E88F31">
      <w:pPr>
        <w:jc w:val="left"/>
        <w:rPr>
          <w:rFonts w:hint="eastAsia" w:ascii="仿宋" w:hAnsi="仿宋" w:eastAsia="仿宋" w:cs="仿宋"/>
          <w:sz w:val="28"/>
          <w:szCs w:val="32"/>
        </w:rPr>
      </w:pPr>
    </w:p>
    <w:p w14:paraId="14DCFA55">
      <w:pPr>
        <w:jc w:val="center"/>
        <w:rPr>
          <w:rFonts w:ascii="Times New Roman" w:hAnsi="Times New Roman" w:eastAsia="黑体" w:cs="Times New Roman"/>
          <w:sz w:val="28"/>
          <w:szCs w:val="28"/>
        </w:rPr>
      </w:pPr>
    </w:p>
    <w:p w14:paraId="731EDD4B">
      <w:pPr>
        <w:jc w:val="center"/>
        <w:rPr>
          <w:rFonts w:ascii="Times New Roman" w:hAnsi="Times New Roman" w:eastAsia="黑体" w:cs="Times New Roman"/>
          <w:sz w:val="28"/>
          <w:szCs w:val="28"/>
        </w:rPr>
      </w:pPr>
    </w:p>
    <w:p w14:paraId="456DEDF2">
      <w:pPr>
        <w:jc w:val="center"/>
        <w:rPr>
          <w:rFonts w:ascii="Times New Roman" w:hAnsi="Times New Roman" w:eastAsia="黑体" w:cs="Times New Roman"/>
          <w:sz w:val="28"/>
          <w:szCs w:val="28"/>
        </w:rPr>
      </w:pPr>
    </w:p>
    <w:p w14:paraId="0445A012">
      <w:pPr>
        <w:jc w:val="both"/>
        <w:rPr>
          <w:rFonts w:ascii="Times New Roman" w:hAnsi="Times New Roman" w:eastAsia="黑体" w:cs="Times New Roman"/>
          <w:sz w:val="28"/>
          <w:szCs w:val="28"/>
        </w:rPr>
      </w:pPr>
      <w:bookmarkStart w:id="0" w:name="_GoBack"/>
      <w:bookmarkEnd w:id="0"/>
    </w:p>
    <w:p w14:paraId="042CCC65">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9F02325">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F296CE2">
      <w:pPr>
        <w:widowControl/>
        <w:jc w:val="both"/>
        <w:rPr>
          <w:rFonts w:ascii="Times New Roman" w:hAnsi="Times New Roman" w:eastAsia="方正小标宋_GBK" w:cs="Times New Roman"/>
          <w:color w:val="000000"/>
          <w:kern w:val="0"/>
          <w:sz w:val="36"/>
          <w:szCs w:val="36"/>
        </w:rPr>
      </w:pPr>
    </w:p>
    <w:p w14:paraId="768E2801">
      <w:pPr>
        <w:pStyle w:val="13"/>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见附件</w:t>
      </w:r>
    </w:p>
    <w:p w14:paraId="6CD14556">
      <w:pPr>
        <w:autoSpaceDE w:val="0"/>
        <w:autoSpaceDN w:val="0"/>
        <w:adjustRightInd w:val="0"/>
        <w:ind w:left="315" w:leftChars="150"/>
        <w:jc w:val="left"/>
        <w:rPr>
          <w:rFonts w:ascii="Times New Roman" w:hAnsi="Times New Roman" w:eastAsia="宋体" w:cs="Times New Roman"/>
          <w:kern w:val="0"/>
          <w:sz w:val="24"/>
          <w:szCs w:val="24"/>
        </w:rPr>
      </w:pPr>
    </w:p>
    <w:p w14:paraId="369C3FCF">
      <w:pPr>
        <w:autoSpaceDE w:val="0"/>
        <w:autoSpaceDN w:val="0"/>
        <w:adjustRightInd w:val="0"/>
        <w:ind w:left="315" w:leftChars="150"/>
        <w:jc w:val="left"/>
        <w:rPr>
          <w:rFonts w:ascii="Times New Roman" w:hAnsi="Times New Roman" w:eastAsia="宋体" w:cs="Times New Roman"/>
          <w:kern w:val="0"/>
          <w:sz w:val="24"/>
          <w:szCs w:val="24"/>
        </w:rPr>
      </w:pPr>
    </w:p>
    <w:p w14:paraId="4909E3F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E659599">
      <w:pPr>
        <w:pStyle w:val="13"/>
        <w:rPr>
          <w:rFonts w:ascii="Times New Roman" w:hAnsi="Times New Roman" w:cs="Times New Roman"/>
          <w:sz w:val="72"/>
          <w:szCs w:val="72"/>
        </w:rPr>
      </w:pPr>
    </w:p>
    <w:p w14:paraId="7D6F110E">
      <w:pPr>
        <w:pStyle w:val="13"/>
        <w:rPr>
          <w:rFonts w:ascii="Times New Roman" w:hAnsi="Times New Roman" w:cs="Times New Roman"/>
          <w:sz w:val="72"/>
          <w:szCs w:val="72"/>
        </w:rPr>
      </w:pPr>
    </w:p>
    <w:p w14:paraId="2511B8C2">
      <w:pPr>
        <w:pStyle w:val="13"/>
        <w:rPr>
          <w:rFonts w:ascii="Times New Roman" w:hAnsi="Times New Roman" w:cs="Times New Roman"/>
          <w:sz w:val="72"/>
          <w:szCs w:val="72"/>
        </w:rPr>
      </w:pPr>
    </w:p>
    <w:p w14:paraId="6ED0283D">
      <w:pPr>
        <w:pStyle w:val="13"/>
        <w:jc w:val="center"/>
        <w:rPr>
          <w:rFonts w:ascii="Times New Roman" w:hAnsi="Times New Roman" w:cs="Times New Roman"/>
          <w:sz w:val="72"/>
          <w:szCs w:val="72"/>
        </w:rPr>
      </w:pPr>
    </w:p>
    <w:p w14:paraId="3E97C2FC">
      <w:pPr>
        <w:pStyle w:val="13"/>
        <w:jc w:val="center"/>
        <w:rPr>
          <w:rFonts w:ascii="Times New Roman" w:hAnsi="Times New Roman" w:eastAsia="方正小标宋_GBK" w:cs="Times New Roman"/>
          <w:sz w:val="72"/>
          <w:szCs w:val="72"/>
        </w:rPr>
      </w:pPr>
    </w:p>
    <w:p w14:paraId="36C2B0B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C5C6E6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FD72E97">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EADBA2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75A06E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306.99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17.3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项目组织部拨付党建费用。</w:t>
      </w:r>
    </w:p>
    <w:p w14:paraId="2166A13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D7EB2E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306.99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286.61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20.38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p>
    <w:p w14:paraId="4F80913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6D958B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308.27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89.44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218.83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069E38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FC4D67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286.61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30.86</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12.07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组织部拨付党建费用。</w:t>
      </w:r>
    </w:p>
    <w:p w14:paraId="724C5A5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C0E42D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7D5789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286.61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30.86</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12.07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组织部拨付党建费用。</w:t>
      </w:r>
    </w:p>
    <w:p w14:paraId="47734B3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w:t>
      </w:r>
    </w:p>
    <w:p w14:paraId="079B935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2A7AB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286.61</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274.85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95.9</w:t>
      </w:r>
      <w:r>
        <w:rPr>
          <w:rFonts w:ascii="Times New Roman" w:hAnsi="Times New Roman" w:eastAsia="仿宋_GB2312" w:cs="Times New Roman"/>
          <w:sz w:val="32"/>
          <w:szCs w:val="32"/>
        </w:rPr>
        <w:t>%；</w:t>
      </w:r>
      <w:r>
        <w:rPr>
          <w:rFonts w:hint="eastAsia" w:asciiTheme="minorEastAsia" w:hAnsiTheme="minorEastAsia" w:eastAsiaTheme="minorEastAsia"/>
          <w:sz w:val="32"/>
          <w:szCs w:val="32"/>
          <w:lang w:val="en-US" w:eastAsia="zh-CN"/>
        </w:rPr>
        <w:t>卫生健康</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0.1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0.03</w:t>
      </w:r>
      <w:r>
        <w:rPr>
          <w:rFonts w:hint="eastAsia" w:ascii="Times New Roman" w:hAnsi="Times New Roman" w:eastAsia="仿宋_GB2312"/>
          <w:sz w:val="32"/>
          <w:szCs w:val="32"/>
        </w:rPr>
        <w:t>%；</w:t>
      </w:r>
      <w:r>
        <w:rPr>
          <w:rFonts w:hint="eastAsia" w:asciiTheme="minorEastAsia" w:hAnsiTheme="minorEastAsia" w:eastAsiaTheme="minorEastAsia"/>
          <w:sz w:val="32"/>
          <w:szCs w:val="32"/>
          <w:lang w:val="en-US" w:eastAsia="zh-CN"/>
        </w:rPr>
        <w:t>社会保障和就业</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1.75</w:t>
      </w:r>
      <w:r>
        <w:rPr>
          <w:rFonts w:hint="eastAsia" w:ascii="Times New Roman" w:hAnsi="Times New Roman" w:eastAsia="仿宋_GB2312"/>
          <w:sz w:val="32"/>
          <w:szCs w:val="32"/>
        </w:rPr>
        <w:t>%；</w:t>
      </w:r>
      <w:r>
        <w:rPr>
          <w:rFonts w:hint="eastAsia" w:asciiTheme="minorEastAsia" w:hAnsiTheme="minorEastAsia" w:eastAsiaTheme="minorEastAsia"/>
          <w:sz w:val="32"/>
          <w:szCs w:val="32"/>
        </w:rPr>
        <w:t>住房保障（类）支出</w:t>
      </w:r>
      <w:r>
        <w:rPr>
          <w:rFonts w:hint="eastAsia" w:asciiTheme="minorEastAsia" w:hAnsiTheme="minorEastAsia" w:eastAsiaTheme="minorEastAsia"/>
          <w:sz w:val="32"/>
          <w:szCs w:val="32"/>
          <w:lang w:val="en-US" w:eastAsia="zh-CN"/>
        </w:rPr>
        <w:t>6.66</w:t>
      </w:r>
      <w:r>
        <w:rPr>
          <w:rFonts w:hint="eastAsia" w:asciiTheme="minorEastAsia" w:hAnsiTheme="minorEastAsia" w:eastAsiaTheme="minorEastAsia"/>
          <w:sz w:val="32"/>
          <w:szCs w:val="32"/>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2.32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4E5244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5B9C99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161.32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286.61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177</w:t>
      </w:r>
      <w:r>
        <w:rPr>
          <w:rFonts w:ascii="Times New Roman" w:hAnsi="Times New Roman" w:eastAsia="仿宋_GB2312" w:cs="Times New Roman"/>
          <w:sz w:val="32"/>
          <w:szCs w:val="32"/>
        </w:rPr>
        <w:t>%，其中：</w:t>
      </w:r>
    </w:p>
    <w:p w14:paraId="38AE9E2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p>
    <w:p w14:paraId="004E57E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154.66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274.85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177</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企业离休干部及遗孀工资</w:t>
      </w:r>
    </w:p>
    <w:p w14:paraId="44FDC456">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lang w:val="en-US" w:eastAsia="zh-CN"/>
        </w:rPr>
        <w:t>卫生健康</w:t>
      </w:r>
    </w:p>
    <w:p w14:paraId="0CA7838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退休人员独生子女费</w:t>
      </w:r>
    </w:p>
    <w:p w14:paraId="241B07FB">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住房保障</w:t>
      </w:r>
    </w:p>
    <w:p w14:paraId="71B8329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6.66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5EAB69F">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4、社会保障类</w:t>
      </w:r>
    </w:p>
    <w:p w14:paraId="4B5B278A">
      <w:pPr>
        <w:pStyle w:val="13"/>
        <w:overflowPunct w:val="0"/>
        <w:autoSpaceDE/>
        <w:autoSpaceDN/>
        <w:spacing w:line="600" w:lineRule="exact"/>
        <w:ind w:firstLine="640" w:firstLineChars="200"/>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退役军人优抚离退休慰问。</w:t>
      </w:r>
    </w:p>
    <w:p w14:paraId="30C2B4E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4FE7E2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89.44</w:t>
      </w:r>
      <w:r>
        <w:rPr>
          <w:rFonts w:ascii="Times New Roman" w:hAnsi="Times New Roman" w:eastAsia="仿宋_GB2312" w:cs="Times New Roman"/>
          <w:sz w:val="32"/>
          <w:szCs w:val="32"/>
        </w:rPr>
        <w:t>万元，其中：</w:t>
      </w:r>
    </w:p>
    <w:p w14:paraId="2887CE5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82.19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91.89</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w:t>
      </w:r>
      <w:r>
        <w:rPr>
          <w:rFonts w:asciiTheme="minorEastAsia" w:hAnsiTheme="minorEastAsia" w:eastAsiaTheme="minorEastAsia"/>
          <w:sz w:val="32"/>
          <w:szCs w:val="32"/>
        </w:rPr>
        <w:t>基本工资、津贴补贴</w:t>
      </w:r>
      <w:r>
        <w:rPr>
          <w:rFonts w:hint="eastAsia" w:asciiTheme="minorEastAsia" w:hAnsiTheme="minorEastAsia" w:eastAsiaTheme="minorEastAsia"/>
          <w:sz w:val="32"/>
          <w:szCs w:val="32"/>
        </w:rPr>
        <w:t>、奖金、伙食补助费、机关事业单位基本养老保险缴费、职工基本医疗保险缴费、其他社会保障缴费、住房公积金、医疗费、其他工资福利支出、生活补助、奖励金</w:t>
      </w:r>
      <w:r>
        <w:rPr>
          <w:rFonts w:hint="eastAsia" w:ascii="Times New Roman" w:hAnsi="Times New Roman" w:eastAsia="仿宋_GB2312"/>
          <w:sz w:val="32"/>
          <w:szCs w:val="32"/>
          <w:lang w:eastAsia="zh-CN"/>
        </w:rPr>
        <w:t>。</w:t>
      </w:r>
    </w:p>
    <w:p w14:paraId="07638326">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7.25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8.11</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w:t>
      </w:r>
      <w:r>
        <w:rPr>
          <w:rFonts w:hint="eastAsia" w:asciiTheme="minorEastAsia" w:hAnsiTheme="minorEastAsia" w:eastAsiaTheme="minorEastAsia"/>
          <w:sz w:val="32"/>
          <w:szCs w:val="32"/>
        </w:rPr>
        <w:t>办公费、印刷费、水费、电费、邮电费、差旅费、维修（护）费、培训费、劳务费、工会经费、其他交通费用、其他商品和服务支出。</w:t>
      </w:r>
    </w:p>
    <w:p w14:paraId="458C28C5">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C4EBA8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68DE81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51FD855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4FD91B5">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val="en-US" w:eastAsia="zh-CN"/>
        </w:rPr>
        <w:t>.</w:t>
      </w:r>
    </w:p>
    <w:p w14:paraId="4DDD313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5358D9A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9E6C50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截止202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5189E03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37B07F4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D9EEB8C">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p>
    <w:p w14:paraId="0B300C3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5CE3E9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7.25</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，比上年决算数减少</w:t>
      </w:r>
      <w:r>
        <w:rPr>
          <w:rFonts w:hint="eastAsia" w:ascii="Times New Roman" w:hAnsi="Times New Roman" w:eastAsia="仿宋_GB2312" w:cs="Times New Roman"/>
          <w:sz w:val="32"/>
          <w:szCs w:val="32"/>
          <w:lang w:val="en-US" w:eastAsia="zh-CN"/>
        </w:rPr>
        <w:t>7.44</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49.35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减少了行政运行经费使用</w:t>
      </w:r>
      <w:r>
        <w:rPr>
          <w:rFonts w:ascii="Times New Roman" w:hAnsi="Times New Roman" w:eastAsia="仿宋_GB2312" w:cs="Times New Roman"/>
          <w:sz w:val="32"/>
          <w:szCs w:val="32"/>
        </w:rPr>
        <w:t>。</w:t>
      </w:r>
    </w:p>
    <w:p w14:paraId="2567549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68EE3E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64A7872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3F9F759">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2.03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2.03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2.03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33C8AF5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304B5F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82D9D17">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45B19B3">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78.28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78.28</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 xml:space="preserve"> 27.31</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老干活动中心</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老干部大学</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老年体协活动</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老年协会</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78.28</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1EE5F60A">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161.32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308.27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191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老干部大学办班</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老年协会活动</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二是部门评价结果（如有，一级预算部门填写）。</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老干活动中心</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老干部大学</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老年体协活动</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老年协会活动</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14.08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4D352B51">
      <w:pPr>
        <w:pStyle w:val="13"/>
        <w:overflowPunct w:val="0"/>
        <w:autoSpaceDE/>
        <w:autoSpaceDN/>
        <w:spacing w:line="600" w:lineRule="exact"/>
        <w:ind w:firstLine="640" w:firstLineChars="200"/>
        <w:jc w:val="both"/>
        <w:rPr>
          <w:rFonts w:ascii="Times New Roman" w:hAnsi="Times New Roman" w:cs="Times New Roman"/>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2024年部门整体支出绩效自评结果为</w:t>
      </w:r>
      <w:r>
        <w:rPr>
          <w:rFonts w:hint="eastAsia" w:ascii="Times New Roman" w:hAnsi="Times New Roman" w:eastAsia="仿宋_GB2312" w:cs="Times New Roman"/>
          <w:color w:val="auto"/>
          <w:sz w:val="32"/>
          <w:szCs w:val="32"/>
          <w:lang w:eastAsia="zh-CN"/>
        </w:rPr>
        <w:t>好</w:t>
      </w:r>
      <w:r>
        <w:rPr>
          <w:rFonts w:hint="eastAsia" w:ascii="Times New Roman" w:hAnsi="Times New Roman" w:eastAsia="仿宋_GB2312" w:cs="Times New Roman"/>
          <w:color w:val="auto"/>
          <w:sz w:val="32"/>
          <w:szCs w:val="32"/>
        </w:rPr>
        <w:t>，本次绩效自评结果将作为下年度部门预算安排的重要依据。自评报告经财政</w:t>
      </w:r>
      <w:r>
        <w:rPr>
          <w:rFonts w:hint="eastAsia" w:ascii="Times New Roman" w:hAnsi="Times New Roman" w:eastAsia="仿宋_GB2312" w:cs="Times New Roman"/>
          <w:color w:val="auto"/>
          <w:sz w:val="32"/>
          <w:szCs w:val="32"/>
          <w:lang w:val="en-US" w:eastAsia="zh-CN"/>
        </w:rPr>
        <w:t>部门</w:t>
      </w:r>
      <w:r>
        <w:rPr>
          <w:rFonts w:hint="eastAsia" w:ascii="Times New Roman" w:hAnsi="Times New Roman" w:eastAsia="仿宋_GB2312" w:cs="Times New Roman"/>
          <w:color w:val="auto"/>
          <w:sz w:val="32"/>
          <w:szCs w:val="32"/>
        </w:rPr>
        <w:t>审核后，将按要求通过</w:t>
      </w:r>
      <w:r>
        <w:rPr>
          <w:rFonts w:hint="eastAsia" w:ascii="Times New Roman" w:hAnsi="Times New Roman" w:eastAsia="仿宋_GB2312" w:cs="Times New Roman"/>
          <w:color w:val="auto"/>
          <w:sz w:val="32"/>
          <w:szCs w:val="32"/>
          <w:lang w:val="en-US" w:eastAsia="zh-CN"/>
        </w:rPr>
        <w:t>政府</w:t>
      </w:r>
      <w:r>
        <w:rPr>
          <w:rFonts w:hint="eastAsia" w:ascii="Times New Roman" w:hAnsi="Times New Roman" w:eastAsia="仿宋_GB2312" w:cs="Times New Roman"/>
          <w:color w:val="auto"/>
          <w:sz w:val="32"/>
          <w:szCs w:val="32"/>
        </w:rPr>
        <w:t>官网向社会公开，主动接受社会监督。</w:t>
      </w:r>
    </w:p>
    <w:p w14:paraId="7D108083">
      <w:pPr>
        <w:pStyle w:val="13"/>
        <w:jc w:val="both"/>
        <w:rPr>
          <w:rFonts w:ascii="Times New Roman" w:hAnsi="Times New Roman" w:cs="Times New Roman"/>
          <w:sz w:val="72"/>
          <w:szCs w:val="72"/>
        </w:rPr>
      </w:pPr>
    </w:p>
    <w:p w14:paraId="76405DB4">
      <w:pPr>
        <w:pStyle w:val="13"/>
        <w:jc w:val="both"/>
        <w:rPr>
          <w:rFonts w:ascii="Times New Roman" w:hAnsi="Times New Roman" w:cs="Times New Roman"/>
          <w:sz w:val="72"/>
          <w:szCs w:val="72"/>
        </w:rPr>
      </w:pPr>
    </w:p>
    <w:p w14:paraId="48AD1A0D">
      <w:pPr>
        <w:pStyle w:val="13"/>
        <w:jc w:val="both"/>
        <w:rPr>
          <w:rFonts w:ascii="Times New Roman" w:hAnsi="Times New Roman" w:cs="Times New Roman"/>
          <w:sz w:val="72"/>
          <w:szCs w:val="72"/>
        </w:rPr>
      </w:pPr>
    </w:p>
    <w:p w14:paraId="268A506C">
      <w:pPr>
        <w:pStyle w:val="13"/>
        <w:jc w:val="center"/>
        <w:rPr>
          <w:rFonts w:ascii="Times New Roman" w:hAnsi="Times New Roman" w:cs="Times New Roman"/>
          <w:sz w:val="72"/>
          <w:szCs w:val="72"/>
        </w:rPr>
      </w:pPr>
    </w:p>
    <w:p w14:paraId="309684F9">
      <w:pPr>
        <w:pStyle w:val="13"/>
        <w:jc w:val="both"/>
        <w:rPr>
          <w:rFonts w:ascii="Times New Roman" w:hAnsi="Times New Roman" w:cs="Times New Roman"/>
          <w:sz w:val="72"/>
          <w:szCs w:val="72"/>
        </w:rPr>
      </w:pPr>
    </w:p>
    <w:p w14:paraId="19DC863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EAA8963">
      <w:pPr>
        <w:widowControl/>
        <w:jc w:val="left"/>
        <w:rPr>
          <w:rFonts w:ascii="Times New Roman" w:hAnsi="Times New Roman" w:cs="Times New Roman"/>
          <w:color w:val="000000"/>
          <w:kern w:val="0"/>
          <w:sz w:val="32"/>
          <w:szCs w:val="32"/>
        </w:rPr>
      </w:pPr>
    </w:p>
    <w:p w14:paraId="239FEFCE">
      <w:pPr>
        <w:pStyle w:val="7"/>
        <w:rPr>
          <w:rFonts w:ascii="Times New Roman" w:hAnsi="Times New Roman" w:cs="Times New Roman"/>
          <w:color w:val="000000"/>
          <w:kern w:val="0"/>
          <w:sz w:val="32"/>
          <w:szCs w:val="32"/>
        </w:rPr>
      </w:pPr>
    </w:p>
    <w:p w14:paraId="188FD08B">
      <w:pPr>
        <w:pStyle w:val="3"/>
        <w:rPr>
          <w:rFonts w:ascii="Times New Roman" w:hAnsi="Times New Roman" w:cs="Times New Roman"/>
          <w:color w:val="000000"/>
          <w:kern w:val="0"/>
          <w:sz w:val="32"/>
          <w:szCs w:val="32"/>
        </w:rPr>
      </w:pPr>
    </w:p>
    <w:p w14:paraId="4C7B1832">
      <w:pPr>
        <w:rPr>
          <w:rFonts w:ascii="Times New Roman" w:hAnsi="Times New Roman" w:cs="Times New Roman"/>
          <w:color w:val="000000"/>
          <w:kern w:val="0"/>
          <w:sz w:val="32"/>
          <w:szCs w:val="32"/>
        </w:rPr>
      </w:pPr>
    </w:p>
    <w:p w14:paraId="79BA0C8C">
      <w:pPr>
        <w:pStyle w:val="7"/>
        <w:rPr>
          <w:rFonts w:ascii="Times New Roman" w:hAnsi="Times New Roman" w:cs="Times New Roman"/>
          <w:color w:val="000000"/>
          <w:kern w:val="0"/>
          <w:sz w:val="32"/>
          <w:szCs w:val="32"/>
        </w:rPr>
      </w:pPr>
    </w:p>
    <w:p w14:paraId="38A8614E">
      <w:pPr>
        <w:pStyle w:val="3"/>
        <w:rPr>
          <w:rFonts w:ascii="Times New Roman" w:hAnsi="Times New Roman" w:cs="Times New Roman"/>
          <w:color w:val="000000"/>
          <w:kern w:val="0"/>
          <w:sz w:val="32"/>
          <w:szCs w:val="32"/>
        </w:rPr>
      </w:pPr>
    </w:p>
    <w:p w14:paraId="494575EB">
      <w:pPr>
        <w:rPr>
          <w:rFonts w:ascii="Times New Roman" w:hAnsi="Times New Roman" w:cs="Times New Roman"/>
          <w:color w:val="000000"/>
          <w:kern w:val="0"/>
          <w:sz w:val="32"/>
          <w:szCs w:val="32"/>
        </w:rPr>
      </w:pPr>
    </w:p>
    <w:p w14:paraId="47C270CC">
      <w:pPr>
        <w:pStyle w:val="7"/>
        <w:rPr>
          <w:rFonts w:ascii="Times New Roman" w:hAnsi="Times New Roman" w:cs="Times New Roman"/>
          <w:color w:val="000000"/>
          <w:kern w:val="0"/>
          <w:sz w:val="32"/>
          <w:szCs w:val="32"/>
        </w:rPr>
      </w:pPr>
    </w:p>
    <w:p w14:paraId="5D509965">
      <w:pPr>
        <w:pStyle w:val="3"/>
        <w:rPr>
          <w:rFonts w:ascii="Times New Roman" w:hAnsi="Times New Roman" w:cs="Times New Roman"/>
          <w:color w:val="000000"/>
          <w:kern w:val="0"/>
          <w:sz w:val="32"/>
          <w:szCs w:val="32"/>
        </w:rPr>
      </w:pPr>
    </w:p>
    <w:p w14:paraId="64F0E095">
      <w:pPr>
        <w:rPr>
          <w:rFonts w:ascii="Times New Roman" w:hAnsi="Times New Roman" w:cs="Times New Roman"/>
          <w:color w:val="000000"/>
          <w:kern w:val="0"/>
          <w:sz w:val="32"/>
          <w:szCs w:val="32"/>
        </w:rPr>
      </w:pPr>
    </w:p>
    <w:p w14:paraId="51A70ABF">
      <w:pPr>
        <w:pStyle w:val="7"/>
        <w:rPr>
          <w:rFonts w:ascii="Times New Roman" w:hAnsi="Times New Roman" w:cs="Times New Roman"/>
          <w:color w:val="000000"/>
          <w:kern w:val="0"/>
          <w:sz w:val="32"/>
          <w:szCs w:val="32"/>
        </w:rPr>
      </w:pPr>
    </w:p>
    <w:p w14:paraId="7F42AE6B">
      <w:pPr>
        <w:pStyle w:val="3"/>
        <w:rPr>
          <w:rFonts w:ascii="Times New Roman" w:hAnsi="Times New Roman" w:cs="Times New Roman"/>
          <w:color w:val="000000"/>
          <w:kern w:val="0"/>
          <w:sz w:val="32"/>
          <w:szCs w:val="32"/>
        </w:rPr>
      </w:pPr>
    </w:p>
    <w:p w14:paraId="28866188">
      <w:pPr>
        <w:rPr>
          <w:rFonts w:ascii="Times New Roman" w:hAnsi="Times New Roman" w:cs="Times New Roman"/>
          <w:color w:val="000000"/>
          <w:kern w:val="0"/>
          <w:sz w:val="32"/>
          <w:szCs w:val="32"/>
        </w:rPr>
      </w:pPr>
    </w:p>
    <w:p w14:paraId="386A9EA5">
      <w:pPr>
        <w:pStyle w:val="3"/>
        <w:ind w:left="0" w:leftChars="0" w:firstLine="0" w:firstLineChars="0"/>
      </w:pPr>
    </w:p>
    <w:p w14:paraId="5CAE70C4">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14:paraId="5AA9F7FA">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14:paraId="60324F91">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14:paraId="73075B2D">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指除上述“财政拨款收入”</w:t>
      </w:r>
      <w:r>
        <w:rPr>
          <w:rFonts w:hint="eastAsia" w:ascii="仿宋" w:hAnsi="仿宋" w:eastAsia="仿宋" w:cs="仿宋"/>
          <w:sz w:val="32"/>
          <w:lang w:eastAsia="zh-CN"/>
        </w:rPr>
        <w:t>、</w:t>
      </w:r>
      <w:r>
        <w:rPr>
          <w:rFonts w:ascii="仿宋" w:hAnsi="仿宋" w:eastAsia="仿宋" w:cs="仿宋"/>
          <w:sz w:val="32"/>
        </w:rPr>
        <w:t xml:space="preserve">“事业收入” </w:t>
      </w:r>
      <w:r>
        <w:rPr>
          <w:rFonts w:hint="eastAsia" w:ascii="仿宋" w:hAnsi="仿宋" w:eastAsia="仿宋" w:cs="仿宋"/>
          <w:sz w:val="32"/>
          <w:lang w:eastAsia="zh-CN"/>
        </w:rPr>
        <w:t>、</w:t>
      </w:r>
      <w:r>
        <w:rPr>
          <w:rFonts w:ascii="仿宋" w:hAnsi="仿宋" w:eastAsia="仿宋" w:cs="仿宋"/>
          <w:sz w:val="32"/>
        </w:rPr>
        <w:t xml:space="preserve">“经营收入”等以外的收入。主要是按规定动用的售房收入、存款利息收入等。 </w:t>
      </w:r>
    </w:p>
    <w:p w14:paraId="02D3AB1F">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59BA1DD">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14:paraId="7EFBB1A1">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14:paraId="50416C58">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14:paraId="71A1729F">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14:paraId="63B7E189">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cs="仿宋"/>
          <w:sz w:val="32"/>
        </w:rPr>
      </w:pPr>
      <w:r>
        <w:rPr>
          <w:rFonts w:ascii="仿宋" w:hAnsi="仿宋" w:eastAsia="仿宋" w:cs="仿宋"/>
          <w:sz w:val="32"/>
        </w:rPr>
        <w:t xml:space="preserve">作任务而发生的人员支出和公用支出。 </w:t>
      </w:r>
    </w:p>
    <w:p w14:paraId="00DC8E04">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14:paraId="4BECE7C0">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14:paraId="7C2DB65F">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72DD5B56">
      <w:pPr>
        <w:keepNext w:val="0"/>
        <w:keepLines w:val="0"/>
        <w:pageBreakBefore w:val="0"/>
        <w:widowControl w:val="0"/>
        <w:kinsoku/>
        <w:wordWrap/>
        <w:overflowPunct/>
        <w:topLinePunct w:val="0"/>
        <w:bidi w:val="0"/>
        <w:snapToGrid/>
        <w:spacing w:line="560" w:lineRule="exact"/>
        <w:ind w:firstLine="643"/>
        <w:jc w:val="left"/>
        <w:textAlignment w:val="auto"/>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DE7C30">
      <w:pPr>
        <w:pStyle w:val="13"/>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cs="Times New Roman"/>
          <w:sz w:val="72"/>
          <w:szCs w:val="72"/>
        </w:rPr>
      </w:pPr>
    </w:p>
    <w:p w14:paraId="34DC5DC0">
      <w:pPr>
        <w:pStyle w:val="13"/>
        <w:jc w:val="center"/>
        <w:rPr>
          <w:rFonts w:ascii="Times New Roman" w:hAnsi="Times New Roman" w:cs="Times New Roman"/>
          <w:sz w:val="72"/>
          <w:szCs w:val="72"/>
        </w:rPr>
      </w:pPr>
    </w:p>
    <w:p w14:paraId="2F599149">
      <w:pPr>
        <w:pStyle w:val="13"/>
        <w:jc w:val="center"/>
        <w:rPr>
          <w:rFonts w:ascii="Times New Roman" w:hAnsi="Times New Roman" w:cs="Times New Roman"/>
          <w:sz w:val="72"/>
          <w:szCs w:val="72"/>
        </w:rPr>
      </w:pPr>
    </w:p>
    <w:p w14:paraId="53B97B37">
      <w:pPr>
        <w:pStyle w:val="13"/>
        <w:jc w:val="center"/>
        <w:rPr>
          <w:rFonts w:ascii="Times New Roman" w:hAnsi="Times New Roman" w:cs="Times New Roman"/>
          <w:sz w:val="72"/>
          <w:szCs w:val="72"/>
        </w:rPr>
      </w:pPr>
    </w:p>
    <w:p w14:paraId="1AA4B393">
      <w:pPr>
        <w:pStyle w:val="13"/>
        <w:jc w:val="center"/>
        <w:rPr>
          <w:rFonts w:ascii="Times New Roman" w:hAnsi="Times New Roman" w:cs="Times New Roman"/>
          <w:sz w:val="72"/>
          <w:szCs w:val="72"/>
        </w:rPr>
      </w:pPr>
    </w:p>
    <w:p w14:paraId="2D3E4A5C">
      <w:pPr>
        <w:pStyle w:val="13"/>
        <w:jc w:val="center"/>
        <w:rPr>
          <w:rFonts w:ascii="Times New Roman" w:hAnsi="Times New Roman" w:cs="Times New Roman"/>
          <w:sz w:val="72"/>
          <w:szCs w:val="72"/>
        </w:rPr>
      </w:pPr>
    </w:p>
    <w:p w14:paraId="3C363E49">
      <w:pPr>
        <w:pStyle w:val="13"/>
        <w:jc w:val="center"/>
        <w:rPr>
          <w:rFonts w:ascii="Times New Roman" w:hAnsi="Times New Roman" w:cs="Times New Roman"/>
          <w:sz w:val="72"/>
          <w:szCs w:val="72"/>
        </w:rPr>
      </w:pPr>
    </w:p>
    <w:p w14:paraId="12676BFB">
      <w:pPr>
        <w:pStyle w:val="13"/>
        <w:jc w:val="both"/>
        <w:rPr>
          <w:rFonts w:ascii="Times New Roman" w:hAnsi="Times New Roman" w:cs="Times New Roman"/>
          <w:sz w:val="72"/>
          <w:szCs w:val="72"/>
        </w:rPr>
      </w:pPr>
    </w:p>
    <w:p w14:paraId="419478DC">
      <w:pPr>
        <w:pStyle w:val="13"/>
        <w:numPr>
          <w:ilvl w:val="0"/>
          <w:numId w:val="3"/>
        </w:numP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附 件</w:t>
      </w:r>
    </w:p>
    <w:p w14:paraId="0B46EDA3">
      <w:pPr>
        <w:pStyle w:val="13"/>
        <w:widowControl w:val="0"/>
        <w:numPr>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5DEB3E10">
      <w:pPr>
        <w:pStyle w:val="13"/>
        <w:widowControl w:val="0"/>
        <w:numPr>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6D106D74">
      <w:pPr>
        <w:pStyle w:val="13"/>
        <w:widowControl w:val="0"/>
        <w:numPr>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49F004E7">
      <w:pPr>
        <w:pStyle w:val="13"/>
        <w:widowControl w:val="0"/>
        <w:numPr>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26E22A6B">
      <w:pPr>
        <w:pStyle w:val="13"/>
        <w:widowControl w:val="0"/>
        <w:numPr>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7875CECC">
      <w:pPr>
        <w:pStyle w:val="13"/>
        <w:widowControl w:val="0"/>
        <w:numPr>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3DA7F642">
      <w:pPr>
        <w:pStyle w:val="13"/>
        <w:widowControl w:val="0"/>
        <w:numPr>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232748CB">
      <w:pPr>
        <w:pStyle w:val="13"/>
        <w:widowControl w:val="0"/>
        <w:numPr>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05253ABD">
      <w:pPr>
        <w:pStyle w:val="13"/>
        <w:widowControl w:val="0"/>
        <w:numPr>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2B38113D">
      <w:pPr>
        <w:pStyle w:val="13"/>
        <w:widowControl w:val="0"/>
        <w:numPr>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1955D550">
      <w:pPr>
        <w:pStyle w:val="13"/>
        <w:widowControl w:val="0"/>
        <w:numPr>
          <w:numId w:val="0"/>
        </w:numPr>
        <w:autoSpaceDE w:val="0"/>
        <w:autoSpaceDN w:val="0"/>
        <w:adjustRightInd w:val="0"/>
        <w:spacing w:line="360" w:lineRule="auto"/>
        <w:jc w:val="center"/>
        <w:rPr>
          <w:rFonts w:ascii="Times New Roman" w:hAnsi="Times New Roman" w:eastAsia="方正小标宋_GBK" w:cs="Times New Roman"/>
          <w:sz w:val="52"/>
          <w:szCs w:val="52"/>
        </w:rPr>
      </w:pPr>
    </w:p>
    <w:p w14:paraId="34D3C808">
      <w:pPr>
        <w:rPr>
          <w:rFonts w:ascii="Times New Roman" w:hAnsi="Times New Roman" w:cs="Times New Roman"/>
          <w:sz w:val="72"/>
          <w:szCs w:val="72"/>
        </w:rPr>
      </w:pPr>
    </w:p>
    <w:p w14:paraId="1C54823B">
      <w:pPr>
        <w:spacing w:line="500" w:lineRule="exact"/>
        <w:jc w:val="center"/>
        <w:rPr>
          <w:rFonts w:ascii="方正小标宋简体" w:hAnsi="黑体" w:eastAsia="方正小标宋简体" w:cs="黑体"/>
          <w:color w:val="000000"/>
          <w:kern w:val="0"/>
          <w:sz w:val="44"/>
          <w:szCs w:val="32"/>
          <w:shd w:val="clear" w:color="auto" w:fill="FFFFFF"/>
        </w:rPr>
      </w:pPr>
    </w:p>
    <w:p w14:paraId="3E4A25B1">
      <w:pPr>
        <w:spacing w:line="500" w:lineRule="exact"/>
        <w:jc w:val="center"/>
        <w:rPr>
          <w:rFonts w:ascii="方正小标宋简体" w:hAnsi="黑体" w:eastAsia="方正小标宋简体" w:cs="黑体"/>
          <w:color w:val="000000"/>
          <w:kern w:val="0"/>
          <w:sz w:val="44"/>
          <w:szCs w:val="32"/>
          <w:shd w:val="clear" w:color="auto" w:fill="FFFFFF"/>
        </w:rPr>
      </w:pPr>
      <w:r>
        <w:rPr>
          <w:rFonts w:hint="eastAsia" w:ascii="方正小标宋简体" w:hAnsi="黑体" w:eastAsia="方正小标宋简体" w:cs="黑体"/>
          <w:color w:val="000000"/>
          <w:kern w:val="0"/>
          <w:sz w:val="44"/>
          <w:szCs w:val="32"/>
          <w:shd w:val="clear" w:color="auto" w:fill="FFFFFF"/>
        </w:rPr>
        <w:t>202</w:t>
      </w:r>
      <w:r>
        <w:rPr>
          <w:rFonts w:hint="eastAsia" w:ascii="宋体" w:hAnsi="宋体" w:cs="宋体"/>
          <w:color w:val="000000"/>
          <w:kern w:val="0"/>
          <w:sz w:val="44"/>
          <w:szCs w:val="32"/>
          <w:shd w:val="clear" w:color="auto" w:fill="FFFFFF"/>
        </w:rPr>
        <w:t>4</w:t>
      </w:r>
      <w:r>
        <w:rPr>
          <w:rFonts w:hint="eastAsia" w:ascii="方正小标宋简体" w:hAnsi="黑体" w:eastAsia="方正小标宋简体" w:cs="黑体"/>
          <w:color w:val="000000"/>
          <w:kern w:val="0"/>
          <w:sz w:val="44"/>
          <w:szCs w:val="32"/>
          <w:shd w:val="clear" w:color="auto" w:fill="FFFFFF"/>
        </w:rPr>
        <w:t>年度沅江市老干部休养活动中心</w:t>
      </w:r>
    </w:p>
    <w:p w14:paraId="59B6685D">
      <w:pPr>
        <w:spacing w:line="500" w:lineRule="exact"/>
        <w:jc w:val="center"/>
        <w:rPr>
          <w:rFonts w:ascii="方正大标宋简体" w:eastAsia="方正大标宋简体"/>
          <w:sz w:val="44"/>
          <w:szCs w:val="44"/>
        </w:rPr>
      </w:pPr>
      <w:r>
        <w:rPr>
          <w:rFonts w:hint="eastAsia" w:ascii="方正小标宋简体" w:hAnsi="黑体" w:eastAsia="方正小标宋简体" w:cs="黑体"/>
          <w:color w:val="000000"/>
          <w:kern w:val="0"/>
          <w:sz w:val="44"/>
          <w:szCs w:val="32"/>
          <w:shd w:val="clear" w:color="auto" w:fill="FFFFFF"/>
        </w:rPr>
        <w:t>整体支出</w:t>
      </w:r>
      <w:r>
        <w:rPr>
          <w:rFonts w:hint="eastAsia" w:ascii="方正大标宋简体" w:eastAsia="方正大标宋简体"/>
          <w:sz w:val="44"/>
          <w:szCs w:val="44"/>
        </w:rPr>
        <w:t>绩效评价报告</w:t>
      </w:r>
    </w:p>
    <w:p w14:paraId="54965511">
      <w:pPr>
        <w:spacing w:line="500" w:lineRule="exact"/>
        <w:rPr>
          <w:rFonts w:ascii="仿宋_GB2312" w:eastAsia="仿宋_GB2312"/>
          <w:sz w:val="32"/>
          <w:szCs w:val="32"/>
        </w:rPr>
      </w:pPr>
    </w:p>
    <w:p w14:paraId="1D4F5CF1">
      <w:pPr>
        <w:spacing w:line="500" w:lineRule="exact"/>
        <w:ind w:firstLine="640" w:firstLineChars="200"/>
        <w:rPr>
          <w:rFonts w:ascii="黑体" w:eastAsia="黑体"/>
          <w:sz w:val="32"/>
          <w:szCs w:val="32"/>
        </w:rPr>
      </w:pPr>
      <w:r>
        <w:rPr>
          <w:rFonts w:hint="eastAsia" w:ascii="黑体" w:eastAsia="黑体"/>
          <w:sz w:val="32"/>
          <w:szCs w:val="32"/>
        </w:rPr>
        <w:t>一、部门基本情况</w:t>
      </w:r>
    </w:p>
    <w:p w14:paraId="6309F47D">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（一）部门基本情况及2024年履职情况；</w:t>
      </w:r>
    </w:p>
    <w:p w14:paraId="700CE778">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1．主要职能。</w:t>
      </w:r>
    </w:p>
    <w:p w14:paraId="45A2E55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（1）组织、</w:t>
      </w:r>
      <w:r>
        <w:rPr>
          <w:rFonts w:ascii="仿宋_GB2312" w:hAnsi="仿宋" w:eastAsia="仿宋_GB2312"/>
          <w:sz w:val="32"/>
          <w:szCs w:val="32"/>
        </w:rPr>
        <w:t>管理、协调、服务我市的老干</w:t>
      </w:r>
      <w:r>
        <w:rPr>
          <w:rFonts w:hint="eastAsia" w:ascii="仿宋_GB2312" w:hAnsi="仿宋" w:eastAsia="仿宋_GB2312"/>
          <w:sz w:val="32"/>
          <w:szCs w:val="32"/>
        </w:rPr>
        <w:t>工作</w:t>
      </w:r>
    </w:p>
    <w:p w14:paraId="583847C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（2）落实</w:t>
      </w:r>
      <w:r>
        <w:rPr>
          <w:rFonts w:ascii="仿宋_GB2312" w:hAnsi="仿宋" w:eastAsia="仿宋_GB2312"/>
          <w:sz w:val="32"/>
          <w:szCs w:val="32"/>
        </w:rPr>
        <w:t>离退休干部的政治生活待遇，组织离退休老干部发挥</w:t>
      </w:r>
      <w:r>
        <w:rPr>
          <w:rFonts w:hint="eastAsia" w:ascii="仿宋_GB2312" w:hAnsi="仿宋" w:eastAsia="仿宋_GB2312"/>
          <w:sz w:val="32"/>
          <w:szCs w:val="32"/>
        </w:rPr>
        <w:t>作用</w:t>
      </w:r>
      <w:r>
        <w:rPr>
          <w:rFonts w:ascii="仿宋_GB2312" w:hAnsi="仿宋" w:eastAsia="仿宋_GB2312"/>
          <w:sz w:val="32"/>
          <w:szCs w:val="32"/>
        </w:rPr>
        <w:t>和开展活动，加强老干部工作队伍自身建设等</w:t>
      </w:r>
      <w:r>
        <w:rPr>
          <w:rFonts w:hint="eastAsia" w:ascii="仿宋_GB2312" w:hAnsi="仿宋" w:eastAsia="仿宋_GB2312"/>
          <w:sz w:val="32"/>
          <w:szCs w:val="32"/>
        </w:rPr>
        <w:t>；</w:t>
      </w:r>
    </w:p>
    <w:p w14:paraId="33B6FCF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（3）宣传</w:t>
      </w:r>
      <w:r>
        <w:rPr>
          <w:rFonts w:ascii="仿宋_GB2312" w:hAnsi="仿宋" w:eastAsia="仿宋_GB2312"/>
          <w:sz w:val="32"/>
          <w:szCs w:val="32"/>
        </w:rPr>
        <w:t>老干部活动中心工作</w:t>
      </w:r>
    </w:p>
    <w:p w14:paraId="21D9715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（4）老年大学</w:t>
      </w:r>
      <w:r>
        <w:rPr>
          <w:rFonts w:ascii="仿宋_GB2312" w:hAnsi="仿宋" w:eastAsia="仿宋_GB2312"/>
          <w:sz w:val="32"/>
          <w:szCs w:val="32"/>
        </w:rPr>
        <w:t>教育工作</w:t>
      </w:r>
    </w:p>
    <w:p w14:paraId="4138BD6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 2024年履职情况</w:t>
      </w:r>
    </w:p>
    <w:p w14:paraId="68106184">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巩固了</w:t>
      </w:r>
      <w:r>
        <w:rPr>
          <w:rFonts w:ascii="仿宋_GB2312" w:hAnsi="仿宋" w:eastAsia="仿宋_GB2312" w:cs="仿宋"/>
          <w:sz w:val="32"/>
          <w:szCs w:val="32"/>
        </w:rPr>
        <w:t>省示范老干部大学</w:t>
      </w:r>
      <w:r>
        <w:rPr>
          <w:rFonts w:hint="eastAsia" w:ascii="仿宋_GB2312" w:hAnsi="仿宋" w:eastAsia="仿宋_GB2312" w:cs="仿宋"/>
          <w:sz w:val="32"/>
          <w:szCs w:val="32"/>
        </w:rPr>
        <w:t>成果</w:t>
      </w:r>
      <w:r>
        <w:rPr>
          <w:rFonts w:ascii="仿宋_GB2312" w:hAnsi="仿宋" w:eastAsia="仿宋_GB2312" w:cs="仿宋"/>
          <w:sz w:val="32"/>
          <w:szCs w:val="32"/>
        </w:rPr>
        <w:t>，老干部大学结合老干部的年龄特点，分别开设了书法</w:t>
      </w:r>
      <w:r>
        <w:rPr>
          <w:rFonts w:hint="eastAsia" w:ascii="仿宋_GB2312" w:hAnsi="仿宋" w:eastAsia="仿宋_GB2312" w:cs="仿宋"/>
          <w:sz w:val="32"/>
          <w:szCs w:val="32"/>
        </w:rPr>
        <w:t>、</w:t>
      </w:r>
      <w:r>
        <w:rPr>
          <w:rFonts w:ascii="仿宋_GB2312" w:hAnsi="仿宋" w:eastAsia="仿宋_GB2312" w:cs="仿宋"/>
          <w:sz w:val="32"/>
          <w:szCs w:val="32"/>
        </w:rPr>
        <w:t>国画、声乐、电子</w:t>
      </w:r>
      <w:r>
        <w:rPr>
          <w:rFonts w:hint="eastAsia" w:ascii="仿宋_GB2312" w:hAnsi="仿宋" w:eastAsia="仿宋_GB2312" w:cs="仿宋"/>
          <w:sz w:val="32"/>
          <w:szCs w:val="32"/>
        </w:rPr>
        <w:t>琴、</w:t>
      </w:r>
      <w:r>
        <w:rPr>
          <w:rFonts w:ascii="仿宋_GB2312" w:hAnsi="仿宋" w:eastAsia="仿宋_GB2312" w:cs="仿宋"/>
          <w:sz w:val="32"/>
          <w:szCs w:val="32"/>
        </w:rPr>
        <w:t>电脑、舞蹈、普通</w:t>
      </w:r>
      <w:r>
        <w:rPr>
          <w:rFonts w:hint="eastAsia" w:ascii="仿宋_GB2312" w:hAnsi="仿宋" w:eastAsia="仿宋_GB2312" w:cs="仿宋"/>
          <w:sz w:val="32"/>
          <w:szCs w:val="32"/>
        </w:rPr>
        <w:t>话</w:t>
      </w:r>
      <w:r>
        <w:rPr>
          <w:rFonts w:ascii="仿宋_GB2312" w:hAnsi="仿宋" w:eastAsia="仿宋_GB2312" w:cs="仿宋"/>
          <w:sz w:val="32"/>
          <w:szCs w:val="32"/>
        </w:rPr>
        <w:t>、</w:t>
      </w:r>
      <w:r>
        <w:rPr>
          <w:rFonts w:hint="eastAsia" w:ascii="仿宋_GB2312" w:hAnsi="仿宋" w:eastAsia="仿宋_GB2312" w:cs="仿宋"/>
          <w:sz w:val="32"/>
          <w:szCs w:val="32"/>
        </w:rPr>
        <w:t>古筝</w:t>
      </w:r>
      <w:r>
        <w:rPr>
          <w:rFonts w:ascii="仿宋_GB2312" w:hAnsi="仿宋" w:eastAsia="仿宋_GB2312" w:cs="仿宋"/>
          <w:sz w:val="32"/>
          <w:szCs w:val="32"/>
        </w:rPr>
        <w:t>、瑜伽、二胡等适合老干部自身特色的课程。</w:t>
      </w:r>
      <w:r>
        <w:rPr>
          <w:rFonts w:hint="eastAsia" w:ascii="仿宋_GB2312" w:hAnsi="仿宋" w:eastAsia="仿宋_GB2312" w:cs="仿宋"/>
          <w:sz w:val="32"/>
          <w:szCs w:val="32"/>
        </w:rPr>
        <w:t>根据</w:t>
      </w:r>
      <w:r>
        <w:rPr>
          <w:rFonts w:ascii="仿宋_GB2312" w:hAnsi="仿宋" w:eastAsia="仿宋_GB2312" w:cs="仿宋"/>
          <w:sz w:val="32"/>
          <w:szCs w:val="32"/>
        </w:rPr>
        <w:t>不同</w:t>
      </w:r>
      <w:r>
        <w:rPr>
          <w:rFonts w:hint="eastAsia" w:ascii="仿宋_GB2312" w:hAnsi="仿宋" w:eastAsia="仿宋_GB2312" w:cs="仿宋"/>
          <w:sz w:val="32"/>
          <w:szCs w:val="32"/>
        </w:rPr>
        <w:t>教室</w:t>
      </w:r>
      <w:r>
        <w:rPr>
          <w:rFonts w:ascii="仿宋_GB2312" w:hAnsi="仿宋" w:eastAsia="仿宋_GB2312" w:cs="仿宋"/>
          <w:sz w:val="32"/>
          <w:szCs w:val="32"/>
        </w:rPr>
        <w:t>的要求，分别配备了</w:t>
      </w:r>
      <w:r>
        <w:rPr>
          <w:rFonts w:hint="eastAsia" w:ascii="仿宋_GB2312" w:hAnsi="仿宋" w:eastAsia="仿宋_GB2312" w:cs="仿宋"/>
          <w:sz w:val="32"/>
          <w:szCs w:val="32"/>
        </w:rPr>
        <w:t>投影仪</w:t>
      </w:r>
      <w:r>
        <w:rPr>
          <w:rFonts w:ascii="仿宋_GB2312" w:hAnsi="仿宋" w:eastAsia="仿宋_GB2312" w:cs="仿宋"/>
          <w:sz w:val="32"/>
          <w:szCs w:val="32"/>
        </w:rPr>
        <w:t>、多媒体触控一体机、</w:t>
      </w:r>
      <w:r>
        <w:rPr>
          <w:rFonts w:hint="eastAsia" w:ascii="仿宋_GB2312" w:hAnsi="仿宋" w:eastAsia="仿宋_GB2312" w:cs="仿宋"/>
          <w:sz w:val="32"/>
          <w:szCs w:val="32"/>
        </w:rPr>
        <w:t>视频展示台</w:t>
      </w:r>
      <w:r>
        <w:rPr>
          <w:rFonts w:ascii="仿宋_GB2312" w:hAnsi="仿宋" w:eastAsia="仿宋_GB2312" w:cs="仿宋"/>
          <w:sz w:val="32"/>
          <w:szCs w:val="32"/>
        </w:rPr>
        <w:t>等设备，改善了办学条件。协会</w:t>
      </w:r>
      <w:r>
        <w:rPr>
          <w:rFonts w:hint="eastAsia" w:ascii="仿宋_GB2312" w:hAnsi="仿宋" w:eastAsia="仿宋_GB2312" w:cs="仿宋"/>
          <w:sz w:val="32"/>
          <w:szCs w:val="32"/>
        </w:rPr>
        <w:t>参加</w:t>
      </w:r>
      <w:r>
        <w:rPr>
          <w:rFonts w:ascii="仿宋_GB2312" w:hAnsi="仿宋" w:eastAsia="仿宋_GB2312" w:cs="仿宋"/>
          <w:sz w:val="32"/>
          <w:szCs w:val="32"/>
        </w:rPr>
        <w:t>益阳“</w:t>
      </w:r>
      <w:r>
        <w:rPr>
          <w:rFonts w:hint="eastAsia" w:ascii="仿宋_GB2312" w:hAnsi="仿宋" w:eastAsia="仿宋_GB2312" w:cs="仿宋"/>
          <w:sz w:val="32"/>
          <w:szCs w:val="32"/>
        </w:rPr>
        <w:t>礼赞</w:t>
      </w:r>
      <w:r>
        <w:rPr>
          <w:rFonts w:ascii="仿宋_GB2312" w:hAnsi="仿宋" w:eastAsia="仿宋_GB2312" w:cs="仿宋"/>
          <w:sz w:val="32"/>
          <w:szCs w:val="32"/>
        </w:rPr>
        <w:t>新时代</w:t>
      </w:r>
      <w:r>
        <w:rPr>
          <w:rFonts w:hint="eastAsia" w:ascii="仿宋_GB2312" w:hAnsi="仿宋" w:eastAsia="仿宋_GB2312" w:cs="仿宋"/>
          <w:sz w:val="32"/>
          <w:szCs w:val="32"/>
        </w:rPr>
        <w:t>.建功</w:t>
      </w:r>
      <w:r>
        <w:rPr>
          <w:rFonts w:ascii="仿宋_GB2312" w:hAnsi="仿宋" w:eastAsia="仿宋_GB2312" w:cs="仿宋"/>
          <w:sz w:val="32"/>
          <w:szCs w:val="32"/>
        </w:rPr>
        <w:t>新益阳”</w:t>
      </w:r>
      <w:r>
        <w:rPr>
          <w:rFonts w:hint="eastAsia" w:ascii="仿宋_GB2312" w:hAnsi="仿宋" w:eastAsia="仿宋_GB2312" w:cs="仿宋"/>
          <w:sz w:val="32"/>
          <w:szCs w:val="32"/>
        </w:rPr>
        <w:t>书画</w:t>
      </w:r>
      <w:r>
        <w:rPr>
          <w:rFonts w:ascii="仿宋_GB2312" w:hAnsi="仿宋" w:eastAsia="仿宋_GB2312" w:cs="仿宋"/>
          <w:sz w:val="32"/>
          <w:szCs w:val="32"/>
        </w:rPr>
        <w:t>作品</w:t>
      </w:r>
      <w:r>
        <w:rPr>
          <w:rFonts w:hint="eastAsia" w:ascii="仿宋_GB2312" w:hAnsi="仿宋" w:eastAsia="仿宋_GB2312" w:cs="仿宋"/>
          <w:sz w:val="32"/>
          <w:szCs w:val="32"/>
        </w:rPr>
        <w:t>展</w:t>
      </w:r>
      <w:r>
        <w:rPr>
          <w:rFonts w:ascii="仿宋_GB2312" w:hAnsi="仿宋" w:eastAsia="仿宋_GB2312" w:cs="仿宋"/>
          <w:sz w:val="32"/>
          <w:szCs w:val="32"/>
        </w:rPr>
        <w:t>，分别获一等奖</w:t>
      </w:r>
      <w:r>
        <w:rPr>
          <w:rFonts w:hint="eastAsia" w:ascii="仿宋_GB2312" w:hAnsi="仿宋" w:eastAsia="仿宋_GB2312" w:cs="仿宋"/>
          <w:sz w:val="32"/>
          <w:szCs w:val="32"/>
        </w:rPr>
        <w:t>2名，</w:t>
      </w:r>
      <w:r>
        <w:rPr>
          <w:rFonts w:ascii="仿宋_GB2312" w:hAnsi="仿宋" w:eastAsia="仿宋_GB2312" w:cs="仿宋"/>
          <w:sz w:val="32"/>
          <w:szCs w:val="32"/>
        </w:rPr>
        <w:t>二等</w:t>
      </w:r>
      <w:r>
        <w:rPr>
          <w:rFonts w:hint="eastAsia" w:ascii="仿宋_GB2312" w:hAnsi="仿宋" w:eastAsia="仿宋_GB2312" w:cs="仿宋"/>
          <w:sz w:val="32"/>
          <w:szCs w:val="32"/>
        </w:rPr>
        <w:t>奖1名</w:t>
      </w:r>
      <w:r>
        <w:rPr>
          <w:rFonts w:ascii="仿宋_GB2312" w:hAnsi="仿宋" w:eastAsia="仿宋_GB2312" w:cs="仿宋"/>
          <w:sz w:val="32"/>
          <w:szCs w:val="32"/>
        </w:rPr>
        <w:t>，三等</w:t>
      </w:r>
      <w:r>
        <w:rPr>
          <w:rFonts w:hint="eastAsia" w:ascii="仿宋_GB2312" w:hAnsi="仿宋" w:eastAsia="仿宋_GB2312" w:cs="仿宋"/>
          <w:sz w:val="32"/>
          <w:szCs w:val="32"/>
        </w:rPr>
        <w:t>奖2名</w:t>
      </w:r>
      <w:r>
        <w:rPr>
          <w:rFonts w:ascii="仿宋_GB2312" w:hAnsi="仿宋" w:eastAsia="仿宋_GB2312" w:cs="仿宋"/>
          <w:sz w:val="32"/>
          <w:szCs w:val="32"/>
        </w:rPr>
        <w:t>。</w:t>
      </w:r>
    </w:p>
    <w:p w14:paraId="2376C7B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（二）部门年度整体支出绩效目标，专项资金绩效目标、其他项目支出绩效目标。</w:t>
      </w:r>
    </w:p>
    <w:p w14:paraId="0031BB1F">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部门整体支出绩效目标是开办</w:t>
      </w:r>
      <w:r>
        <w:rPr>
          <w:rFonts w:ascii="仿宋_GB2312" w:hAnsi="仿宋" w:eastAsia="仿宋_GB2312" w:cs="仿宋"/>
          <w:sz w:val="32"/>
          <w:szCs w:val="32"/>
        </w:rPr>
        <w:t>老干部大学课程班级</w:t>
      </w:r>
      <w:r>
        <w:rPr>
          <w:rFonts w:hint="eastAsia" w:ascii="仿宋_GB2312" w:hAnsi="仿宋" w:eastAsia="仿宋_GB2312" w:cs="仿宋"/>
          <w:sz w:val="32"/>
          <w:szCs w:val="32"/>
        </w:rPr>
        <w:t>22个，老年</w:t>
      </w:r>
      <w:r>
        <w:rPr>
          <w:rFonts w:ascii="仿宋_GB2312" w:hAnsi="仿宋" w:eastAsia="仿宋_GB2312" w:cs="仿宋"/>
          <w:sz w:val="32"/>
          <w:szCs w:val="32"/>
        </w:rPr>
        <w:t>协会全年开展各项活动</w:t>
      </w:r>
      <w:r>
        <w:rPr>
          <w:rFonts w:hint="eastAsia" w:ascii="仿宋_GB2312" w:hAnsi="仿宋" w:eastAsia="仿宋_GB2312" w:cs="仿宋"/>
          <w:sz w:val="32"/>
          <w:szCs w:val="32"/>
        </w:rPr>
        <w:t>30余</w:t>
      </w:r>
      <w:r>
        <w:rPr>
          <w:rFonts w:ascii="仿宋_GB2312" w:hAnsi="仿宋" w:eastAsia="仿宋_GB2312" w:cs="仿宋"/>
          <w:sz w:val="32"/>
          <w:szCs w:val="32"/>
        </w:rPr>
        <w:t>次，老年体育</w:t>
      </w:r>
      <w:r>
        <w:rPr>
          <w:rFonts w:hint="eastAsia" w:ascii="仿宋_GB2312" w:hAnsi="仿宋" w:eastAsia="仿宋_GB2312" w:cs="仿宋"/>
          <w:sz w:val="32"/>
          <w:szCs w:val="32"/>
        </w:rPr>
        <w:t>协会</w:t>
      </w:r>
      <w:r>
        <w:rPr>
          <w:rFonts w:ascii="仿宋_GB2312" w:hAnsi="仿宋" w:eastAsia="仿宋_GB2312" w:cs="仿宋"/>
          <w:sz w:val="32"/>
          <w:szCs w:val="32"/>
        </w:rPr>
        <w:t>参加上级</w:t>
      </w:r>
      <w:r>
        <w:rPr>
          <w:rFonts w:hint="eastAsia" w:ascii="仿宋_GB2312" w:hAnsi="仿宋" w:eastAsia="仿宋_GB2312" w:cs="仿宋"/>
          <w:sz w:val="32"/>
          <w:szCs w:val="32"/>
        </w:rPr>
        <w:t>部门</w:t>
      </w:r>
      <w:r>
        <w:rPr>
          <w:rFonts w:ascii="仿宋_GB2312" w:hAnsi="仿宋" w:eastAsia="仿宋_GB2312" w:cs="仿宋"/>
          <w:sz w:val="32"/>
          <w:szCs w:val="32"/>
        </w:rPr>
        <w:t>组织的各类比赛活动</w:t>
      </w:r>
      <w:r>
        <w:rPr>
          <w:rFonts w:hint="eastAsia" w:ascii="仿宋_GB2312" w:hAnsi="仿宋" w:eastAsia="仿宋_GB2312" w:cs="仿宋"/>
          <w:sz w:val="32"/>
          <w:szCs w:val="32"/>
        </w:rPr>
        <w:t>3次</w:t>
      </w:r>
      <w:r>
        <w:rPr>
          <w:rFonts w:ascii="仿宋_GB2312" w:hAnsi="仿宋" w:eastAsia="仿宋_GB2312" w:cs="仿宋"/>
          <w:sz w:val="32"/>
          <w:szCs w:val="32"/>
        </w:rPr>
        <w:t>，全市离退休老干部及遗孀走访慰问</w:t>
      </w:r>
      <w:r>
        <w:rPr>
          <w:rFonts w:hint="eastAsia" w:ascii="仿宋_GB2312" w:hAnsi="仿宋" w:eastAsia="仿宋_GB2312" w:cs="仿宋"/>
          <w:sz w:val="32"/>
          <w:szCs w:val="32"/>
        </w:rPr>
        <w:t>1900余人</w:t>
      </w:r>
      <w:r>
        <w:rPr>
          <w:rFonts w:ascii="仿宋_GB2312" w:hAnsi="仿宋" w:eastAsia="仿宋_GB2312" w:cs="仿宋"/>
          <w:sz w:val="32"/>
          <w:szCs w:val="32"/>
        </w:rPr>
        <w:t>，重大</w:t>
      </w:r>
      <w:r>
        <w:rPr>
          <w:rFonts w:hint="eastAsia" w:ascii="仿宋_GB2312" w:hAnsi="仿宋" w:eastAsia="仿宋_GB2312" w:cs="仿宋"/>
          <w:sz w:val="32"/>
          <w:szCs w:val="32"/>
        </w:rPr>
        <w:t>节日</w:t>
      </w:r>
      <w:r>
        <w:rPr>
          <w:rFonts w:ascii="仿宋_GB2312" w:hAnsi="仿宋" w:eastAsia="仿宋_GB2312" w:cs="仿宋"/>
          <w:sz w:val="32"/>
          <w:szCs w:val="32"/>
        </w:rPr>
        <w:t>活动开展</w:t>
      </w:r>
      <w:r>
        <w:rPr>
          <w:rFonts w:hint="eastAsia" w:ascii="仿宋_GB2312" w:hAnsi="仿宋" w:eastAsia="仿宋_GB2312" w:cs="仿宋"/>
          <w:sz w:val="32"/>
          <w:szCs w:val="32"/>
        </w:rPr>
        <w:t>2次</w:t>
      </w:r>
      <w:r>
        <w:rPr>
          <w:rFonts w:ascii="仿宋_GB2312" w:hAnsi="仿宋" w:eastAsia="仿宋_GB2312" w:cs="仿宋"/>
          <w:sz w:val="32"/>
          <w:szCs w:val="32"/>
        </w:rPr>
        <w:t>。</w:t>
      </w:r>
    </w:p>
    <w:p w14:paraId="5B205708">
      <w:pPr>
        <w:spacing w:line="500" w:lineRule="exact"/>
        <w:ind w:firstLine="640" w:firstLineChars="200"/>
        <w:rPr>
          <w:rFonts w:ascii="黑体" w:eastAsia="黑体"/>
          <w:sz w:val="32"/>
          <w:szCs w:val="32"/>
        </w:rPr>
      </w:pPr>
      <w:r>
        <w:rPr>
          <w:rFonts w:hint="eastAsia" w:ascii="黑体" w:eastAsia="黑体"/>
          <w:sz w:val="32"/>
          <w:szCs w:val="32"/>
        </w:rPr>
        <w:t>二、一般公共预算支出情况</w:t>
      </w:r>
    </w:p>
    <w:p w14:paraId="6E4585D6">
      <w:pPr>
        <w:spacing w:line="50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14:paraId="49863C0E">
      <w:pPr>
        <w:spacing w:line="500" w:lineRule="exact"/>
        <w:ind w:firstLine="640" w:firstLineChars="200"/>
        <w:rPr>
          <w:rFonts w:ascii="仿宋_GB2312" w:eastAsia="仿宋_GB2312"/>
          <w:sz w:val="32"/>
          <w:szCs w:val="32"/>
        </w:rPr>
      </w:pPr>
      <w:r>
        <w:rPr>
          <w:rFonts w:hint="eastAsia" w:ascii="仿宋_GB2312" w:eastAsia="仿宋_GB2312"/>
          <w:sz w:val="32"/>
          <w:szCs w:val="32"/>
        </w:rPr>
        <w:t>2024年，本部门基本支出完成</w:t>
      </w:r>
      <w:r>
        <w:rPr>
          <w:rFonts w:ascii="仿宋_GB2312" w:eastAsia="仿宋_GB2312"/>
          <w:sz w:val="32"/>
          <w:szCs w:val="32"/>
        </w:rPr>
        <w:t>89.44</w:t>
      </w:r>
      <w:r>
        <w:rPr>
          <w:rFonts w:hint="eastAsia" w:ascii="仿宋_GB2312" w:eastAsia="仿宋_GB2312"/>
          <w:sz w:val="32"/>
          <w:szCs w:val="32"/>
        </w:rPr>
        <w:t>万元，主要是为保障部门正常运转、完成日常工作任务而发生的各项支出。包括用于基本工资、津贴补贴等人员经费以及办公费、印刷费、水电费、办公设备购置等公用经费。</w:t>
      </w:r>
    </w:p>
    <w:p w14:paraId="1DE47289">
      <w:pPr>
        <w:spacing w:line="500" w:lineRule="exact"/>
        <w:ind w:firstLine="640" w:firstLineChars="200"/>
        <w:rPr>
          <w:rFonts w:ascii="仿宋_GB2312" w:eastAsia="仿宋_GB2312"/>
          <w:sz w:val="32"/>
          <w:szCs w:val="32"/>
        </w:rPr>
      </w:pPr>
      <w:r>
        <w:rPr>
          <w:rFonts w:hint="eastAsia" w:ascii="仿宋_GB2312" w:eastAsia="仿宋_GB2312"/>
          <w:sz w:val="32"/>
          <w:szCs w:val="32"/>
        </w:rPr>
        <w:t>（二）项目支出情况</w:t>
      </w:r>
    </w:p>
    <w:p w14:paraId="6B533724">
      <w:pPr>
        <w:spacing w:line="500" w:lineRule="exact"/>
        <w:ind w:firstLine="640" w:firstLineChars="200"/>
        <w:rPr>
          <w:rFonts w:ascii="仿宋_GB2312" w:eastAsia="仿宋_GB2312"/>
          <w:sz w:val="32"/>
          <w:szCs w:val="32"/>
        </w:rPr>
      </w:pPr>
      <w:r>
        <w:rPr>
          <w:rFonts w:hint="eastAsia" w:ascii="仿宋_GB2312" w:eastAsia="仿宋_GB2312"/>
          <w:sz w:val="32"/>
          <w:szCs w:val="32"/>
        </w:rPr>
        <w:t>2024年项目支出</w:t>
      </w:r>
      <w:r>
        <w:rPr>
          <w:rFonts w:ascii="仿宋_GB2312" w:eastAsia="仿宋_GB2312"/>
          <w:sz w:val="32"/>
          <w:szCs w:val="32"/>
        </w:rPr>
        <w:t>217.55</w:t>
      </w:r>
      <w:r>
        <w:rPr>
          <w:rFonts w:hint="eastAsia" w:ascii="仿宋_GB2312" w:eastAsia="仿宋_GB2312"/>
          <w:sz w:val="32"/>
          <w:szCs w:val="32"/>
        </w:rPr>
        <w:t>万元，主要是部门为完成特定行政工作任务或事业发展目标而发生的支出，包括专项业务费、基本建设支出等。其中：老年协会</w:t>
      </w:r>
      <w:r>
        <w:rPr>
          <w:rFonts w:ascii="仿宋_GB2312" w:eastAsia="仿宋_GB2312"/>
          <w:sz w:val="32"/>
          <w:szCs w:val="32"/>
        </w:rPr>
        <w:t>活动</w:t>
      </w:r>
      <w:r>
        <w:rPr>
          <w:rFonts w:hint="eastAsia" w:ascii="仿宋_GB2312" w:eastAsia="仿宋_GB2312"/>
          <w:sz w:val="32"/>
          <w:szCs w:val="32"/>
        </w:rPr>
        <w:t>14.08万元</w:t>
      </w:r>
      <w:r>
        <w:rPr>
          <w:rFonts w:ascii="仿宋_GB2312" w:eastAsia="仿宋_GB2312"/>
          <w:sz w:val="32"/>
          <w:szCs w:val="32"/>
        </w:rPr>
        <w:t>，老年体协活动</w:t>
      </w:r>
      <w:r>
        <w:rPr>
          <w:rFonts w:hint="eastAsia" w:ascii="仿宋_GB2312" w:eastAsia="仿宋_GB2312"/>
          <w:sz w:val="32"/>
          <w:szCs w:val="32"/>
        </w:rPr>
        <w:t>3.2万元</w:t>
      </w:r>
      <w:r>
        <w:rPr>
          <w:rFonts w:ascii="仿宋_GB2312" w:eastAsia="仿宋_GB2312"/>
          <w:sz w:val="32"/>
          <w:szCs w:val="32"/>
        </w:rPr>
        <w:t>，老年大学</w:t>
      </w:r>
      <w:r>
        <w:rPr>
          <w:rFonts w:hint="eastAsia" w:ascii="仿宋_GB2312" w:eastAsia="仿宋_GB2312"/>
          <w:sz w:val="32"/>
          <w:szCs w:val="32"/>
        </w:rPr>
        <w:t>23万元</w:t>
      </w:r>
      <w:r>
        <w:rPr>
          <w:rFonts w:ascii="仿宋_GB2312" w:eastAsia="仿宋_GB2312"/>
          <w:sz w:val="32"/>
          <w:szCs w:val="32"/>
        </w:rPr>
        <w:t>，老干活动中心</w:t>
      </w:r>
      <w:r>
        <w:rPr>
          <w:rFonts w:hint="eastAsia" w:ascii="仿宋_GB2312" w:eastAsia="仿宋_GB2312"/>
          <w:sz w:val="32"/>
          <w:szCs w:val="32"/>
        </w:rPr>
        <w:t>38万元</w:t>
      </w:r>
      <w:r>
        <w:rPr>
          <w:rFonts w:ascii="仿宋_GB2312" w:eastAsia="仿宋_GB2312"/>
          <w:sz w:val="32"/>
          <w:szCs w:val="32"/>
        </w:rPr>
        <w:t>，</w:t>
      </w:r>
      <w:r>
        <w:rPr>
          <w:rFonts w:hint="eastAsia" w:ascii="仿宋_GB2312" w:eastAsia="仿宋_GB2312"/>
          <w:sz w:val="32"/>
          <w:szCs w:val="32"/>
        </w:rPr>
        <w:t>追加项目支出</w:t>
      </w:r>
      <w:r>
        <w:rPr>
          <w:rFonts w:ascii="仿宋_GB2312" w:eastAsia="仿宋_GB2312"/>
          <w:sz w:val="32"/>
          <w:szCs w:val="32"/>
        </w:rPr>
        <w:t>139.27</w:t>
      </w:r>
      <w:r>
        <w:rPr>
          <w:rFonts w:hint="eastAsia" w:ascii="仿宋_GB2312" w:eastAsia="仿宋_GB2312"/>
          <w:sz w:val="32"/>
          <w:szCs w:val="32"/>
        </w:rPr>
        <w:t>万元。</w:t>
      </w:r>
    </w:p>
    <w:p w14:paraId="55C25117">
      <w:pPr>
        <w:spacing w:line="500" w:lineRule="exact"/>
        <w:ind w:firstLine="640" w:firstLineChars="200"/>
        <w:rPr>
          <w:rFonts w:ascii="黑体" w:eastAsia="黑体"/>
          <w:sz w:val="32"/>
          <w:szCs w:val="32"/>
        </w:rPr>
      </w:pPr>
      <w:r>
        <w:rPr>
          <w:rFonts w:hint="eastAsia" w:ascii="黑体" w:eastAsia="黑体"/>
          <w:sz w:val="32"/>
          <w:szCs w:val="32"/>
        </w:rPr>
        <w:t>三、政府性基金预算支出情况</w:t>
      </w:r>
    </w:p>
    <w:p w14:paraId="5C7C2C3D">
      <w:pPr>
        <w:spacing w:line="500" w:lineRule="exact"/>
        <w:ind w:firstLine="640" w:firstLineChars="200"/>
        <w:rPr>
          <w:rFonts w:ascii="仿宋_GB2312" w:eastAsia="仿宋_GB2312"/>
          <w:sz w:val="32"/>
          <w:szCs w:val="32"/>
        </w:rPr>
      </w:pPr>
      <w:r>
        <w:rPr>
          <w:rFonts w:hint="eastAsia" w:ascii="仿宋_GB2312" w:eastAsia="仿宋_GB2312"/>
          <w:sz w:val="32"/>
          <w:szCs w:val="32"/>
        </w:rPr>
        <w:t>无。</w:t>
      </w:r>
    </w:p>
    <w:p w14:paraId="1CFE448C">
      <w:pPr>
        <w:spacing w:line="500" w:lineRule="exact"/>
        <w:ind w:firstLine="640" w:firstLineChars="200"/>
        <w:rPr>
          <w:rFonts w:ascii="黑体" w:eastAsia="黑体"/>
          <w:sz w:val="32"/>
          <w:szCs w:val="32"/>
        </w:rPr>
      </w:pPr>
      <w:r>
        <w:rPr>
          <w:rFonts w:hint="eastAsia" w:ascii="黑体" w:eastAsia="黑体"/>
          <w:sz w:val="32"/>
          <w:szCs w:val="32"/>
        </w:rPr>
        <w:t>四、国有资本经营预算支出情况</w:t>
      </w:r>
    </w:p>
    <w:p w14:paraId="6D0D4448">
      <w:pPr>
        <w:spacing w:line="500" w:lineRule="exact"/>
        <w:ind w:firstLine="640" w:firstLineChars="200"/>
        <w:rPr>
          <w:rFonts w:ascii="黑体" w:eastAsia="黑体"/>
          <w:sz w:val="32"/>
          <w:szCs w:val="32"/>
        </w:rPr>
      </w:pPr>
      <w:r>
        <w:rPr>
          <w:rFonts w:hint="eastAsia" w:ascii="黑体" w:eastAsia="黑体"/>
          <w:sz w:val="32"/>
          <w:szCs w:val="32"/>
        </w:rPr>
        <w:t>无</w:t>
      </w:r>
    </w:p>
    <w:p w14:paraId="701C77F4">
      <w:pPr>
        <w:spacing w:line="500" w:lineRule="exact"/>
        <w:ind w:firstLine="640" w:firstLineChars="200"/>
        <w:rPr>
          <w:rFonts w:ascii="黑体" w:eastAsia="黑体"/>
          <w:sz w:val="32"/>
          <w:szCs w:val="32"/>
        </w:rPr>
      </w:pPr>
      <w:r>
        <w:rPr>
          <w:rFonts w:hint="eastAsia" w:ascii="黑体" w:eastAsia="黑体"/>
          <w:sz w:val="32"/>
          <w:szCs w:val="32"/>
        </w:rPr>
        <w:t>五、社会保险基金预算支出情况</w:t>
      </w:r>
    </w:p>
    <w:p w14:paraId="59F7EB32">
      <w:pPr>
        <w:spacing w:line="500" w:lineRule="exact"/>
        <w:ind w:firstLine="640" w:firstLineChars="200"/>
        <w:rPr>
          <w:rFonts w:ascii="黑体" w:eastAsia="黑体"/>
          <w:sz w:val="32"/>
          <w:szCs w:val="32"/>
        </w:rPr>
      </w:pPr>
      <w:r>
        <w:rPr>
          <w:rFonts w:hint="eastAsia" w:ascii="黑体" w:eastAsia="黑体"/>
          <w:sz w:val="32"/>
          <w:szCs w:val="32"/>
        </w:rPr>
        <w:t>无</w:t>
      </w:r>
    </w:p>
    <w:p w14:paraId="648C331C">
      <w:pPr>
        <w:spacing w:line="500" w:lineRule="exact"/>
        <w:ind w:firstLine="640" w:firstLineChars="200"/>
        <w:rPr>
          <w:rFonts w:ascii="黑体" w:eastAsia="黑体"/>
          <w:sz w:val="32"/>
          <w:szCs w:val="32"/>
        </w:rPr>
      </w:pPr>
      <w:r>
        <w:rPr>
          <w:rFonts w:hint="eastAsia" w:ascii="黑体" w:eastAsia="黑体"/>
          <w:sz w:val="32"/>
          <w:szCs w:val="32"/>
        </w:rPr>
        <w:t>六、部门整体支出绩效情况</w:t>
      </w:r>
    </w:p>
    <w:p w14:paraId="48EBA061">
      <w:pPr>
        <w:spacing w:line="500" w:lineRule="exact"/>
        <w:ind w:firstLine="640" w:firstLineChars="200"/>
        <w:rPr>
          <w:rFonts w:ascii="黑体" w:eastAsia="黑体"/>
          <w:sz w:val="32"/>
          <w:szCs w:val="32"/>
        </w:rPr>
      </w:pPr>
      <w:r>
        <w:rPr>
          <w:rFonts w:hint="eastAsia" w:ascii="黑体" w:eastAsia="黑体"/>
          <w:sz w:val="32"/>
          <w:szCs w:val="32"/>
        </w:rPr>
        <w:t>（一）部门整体支出绩效自评</w:t>
      </w:r>
    </w:p>
    <w:p w14:paraId="143FBC96">
      <w:pPr>
        <w:spacing w:line="5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单位财务制度健全，管理规范，账务处理及时，会计核算规范。专项自己严格按照国家规定的项目资金相关法律法规的规定和要求使用，确保专项资金专款专用。一是严格执行项目预、结算制度。二是严格按照既定的项目实施方案，及时完善项目管理制度，认真开展财务决算工作，充分发挥资金的使用效益。</w:t>
      </w:r>
    </w:p>
    <w:p w14:paraId="1B0D6AA3">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1、加强预算管理，确保收支按预算执行，加强专项资金清理整合。</w:t>
      </w:r>
    </w:p>
    <w:p w14:paraId="3FDA4261">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2、充分发挥财政职能，支持老干部工作发展。</w:t>
      </w:r>
    </w:p>
    <w:p w14:paraId="2BAE0A81">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3、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14:paraId="6CDD432B">
      <w:pPr>
        <w:spacing w:line="500" w:lineRule="exact"/>
        <w:ind w:firstLine="640" w:firstLineChars="200"/>
        <w:rPr>
          <w:rFonts w:ascii="黑体" w:eastAsia="黑体"/>
          <w:sz w:val="32"/>
          <w:szCs w:val="32"/>
        </w:rPr>
      </w:pPr>
      <w:r>
        <w:rPr>
          <w:rFonts w:hint="eastAsia" w:ascii="黑体" w:eastAsia="黑体"/>
          <w:sz w:val="32"/>
          <w:szCs w:val="32"/>
        </w:rPr>
        <w:t>（二）项目支出绩效自评</w:t>
      </w:r>
    </w:p>
    <w:p w14:paraId="7B3AE506">
      <w:pPr>
        <w:pStyle w:val="8"/>
        <w:widowControl/>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专项资金实行“专人管理、专户储存、专账核算、专项使用”。专项资金实行报账制，资金拨付一律转账结算，杜绝现金支付。资金的拨付本着专款专用的原则，严格执行项目资金批准的使用计划和项目批复内容，不准擅自调项、扩项、缩项，更不准拆借、挪用、挤占和随意扣押；资金拨付动向，按不同专项资金的要求执行，不准任意改变；特殊情况，必须请示。</w:t>
      </w:r>
    </w:p>
    <w:p w14:paraId="5F9D14CD">
      <w:pPr>
        <w:pStyle w:val="8"/>
        <w:widowControl/>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严格专项资金初审、审核、审核制度，不准缺项和越程序办理手续，各类专项资金审批程序，以该专项资金审批表所列内容和文件要求为准。对专项资金要定期或不定期进行督查，确保项目资金专款专用，要全程参与项目验收和采购项目交接。</w:t>
      </w:r>
    </w:p>
    <w:p w14:paraId="2801EB7D">
      <w:pPr>
        <w:spacing w:line="500" w:lineRule="exact"/>
        <w:ind w:firstLine="640" w:firstLineChars="200"/>
        <w:rPr>
          <w:rFonts w:ascii="黑体" w:eastAsia="黑体"/>
          <w:sz w:val="32"/>
          <w:szCs w:val="32"/>
        </w:rPr>
      </w:pPr>
      <w:r>
        <w:rPr>
          <w:rFonts w:hint="eastAsia" w:ascii="黑体" w:eastAsia="黑体"/>
          <w:sz w:val="32"/>
          <w:szCs w:val="32"/>
        </w:rPr>
        <w:t>七、存在的问题及原因分析</w:t>
      </w:r>
    </w:p>
    <w:p w14:paraId="6BBFF2DE">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财政收入规模单一，收入结构不合理，财政管理还不很规范，财经纪律还有待进一步加强。专业技术知识有待提高，管理经验不足。资金使用效益有待进一步提高，绩效目标设立不够明确、细化和量化，实际工作完成效益不高。上级主管部门指导作用发挥不够，各工作部门之间，缺乏有效沟通与配合，统一组织协调工作有待加强。</w:t>
      </w:r>
    </w:p>
    <w:p w14:paraId="46E14B42">
      <w:pPr>
        <w:spacing w:line="500" w:lineRule="exact"/>
        <w:ind w:firstLine="640" w:firstLineChars="200"/>
        <w:rPr>
          <w:rFonts w:ascii="黑体" w:eastAsia="黑体"/>
          <w:sz w:val="32"/>
          <w:szCs w:val="32"/>
        </w:rPr>
      </w:pPr>
      <w:r>
        <w:rPr>
          <w:rFonts w:hint="eastAsia" w:ascii="黑体" w:eastAsia="黑体"/>
          <w:sz w:val="32"/>
          <w:szCs w:val="32"/>
        </w:rPr>
        <w:t>八、下一步改进措施</w:t>
      </w:r>
    </w:p>
    <w:p w14:paraId="2BEB0FAA">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1、提高认识。加强预算及预算绩效管理理论、政策的宣传学习培训，进一步提高对绩效管理的认识，提升相关业务工作人员的能力水平，增强预算编制、执行的科学性、准确性、严肃性，做好预算绩效管理经验的总结、提升，不断提高预算绩效管理水平。</w:t>
      </w:r>
    </w:p>
    <w:p w14:paraId="172319F8">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2、加强制度建设。完善机关现有财务管理制度，加强绩效评价结果应用，推进预算绩效管理实现全过程、全覆盖，用制度管好预算资金的安排、分配和使用，加强项目库管理，尤其是跨年项目的资金安排，抓好各项制度的执行落实，加强预算执行的监督、监控和调剂调整，及时化解预算执行过程中可能出现的问题和风险。</w:t>
      </w:r>
    </w:p>
    <w:p w14:paraId="588C1228">
      <w:pPr>
        <w:widowControl/>
        <w:spacing w:line="560" w:lineRule="exact"/>
        <w:ind w:firstLine="640" w:firstLineChars="200"/>
        <w:rPr>
          <w:rFonts w:ascii="黑体" w:eastAsia="黑体"/>
          <w:sz w:val="32"/>
          <w:szCs w:val="32"/>
        </w:rPr>
      </w:pPr>
      <w:r>
        <w:rPr>
          <w:rFonts w:hint="eastAsia" w:ascii="黑体" w:eastAsia="黑体"/>
          <w:sz w:val="32"/>
          <w:szCs w:val="32"/>
        </w:rPr>
        <w:t>九、绩效自评结果拟应用和公开情况</w:t>
      </w:r>
    </w:p>
    <w:p w14:paraId="553F3CF4">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专项自己总体评价，项目科学合理，项目管理规范，项目监督到位，项目完成较好，项目质量较高。</w:t>
      </w:r>
    </w:p>
    <w:p w14:paraId="0B57DD41">
      <w:pPr>
        <w:widowControl/>
        <w:spacing w:line="560" w:lineRule="exact"/>
        <w:ind w:firstLine="640" w:firstLineChars="200"/>
        <w:rPr>
          <w:rFonts w:ascii="黑体" w:eastAsia="黑体"/>
          <w:sz w:val="32"/>
          <w:szCs w:val="32"/>
        </w:rPr>
      </w:pPr>
      <w:r>
        <w:rPr>
          <w:rFonts w:hint="eastAsia" w:ascii="黑体" w:eastAsia="黑体"/>
          <w:sz w:val="32"/>
          <w:szCs w:val="32"/>
        </w:rPr>
        <w:t>十、其他需要说明的情况</w:t>
      </w:r>
    </w:p>
    <w:p w14:paraId="29B75516">
      <w:pPr>
        <w:widowControl/>
        <w:spacing w:line="560" w:lineRule="exact"/>
        <w:ind w:firstLine="640" w:firstLineChars="200"/>
        <w:rPr>
          <w:rFonts w:ascii="仿宋_GB2312" w:hAnsi="仿宋" w:eastAsia="仿宋_GB2312" w:cs="仿宋"/>
          <w:color w:val="000000"/>
          <w:kern w:val="0"/>
          <w:sz w:val="32"/>
          <w:szCs w:val="32"/>
        </w:rPr>
      </w:pPr>
    </w:p>
    <w:p w14:paraId="2EE4895C">
      <w:pPr>
        <w:widowControl/>
        <w:spacing w:line="560" w:lineRule="exact"/>
        <w:ind w:firstLine="640" w:firstLineChars="200"/>
        <w:rPr>
          <w:rFonts w:ascii="仿宋_GB2312" w:hAnsi="仿宋" w:eastAsia="仿宋_GB2312" w:cs="仿宋"/>
          <w:color w:val="000000"/>
          <w:kern w:val="0"/>
          <w:sz w:val="32"/>
          <w:szCs w:val="32"/>
        </w:rPr>
      </w:pPr>
    </w:p>
    <w:p w14:paraId="3D91C261">
      <w:pPr>
        <w:widowControl/>
        <w:wordWrap w:val="0"/>
        <w:spacing w:line="560" w:lineRule="exact"/>
        <w:ind w:firstLine="640" w:firstLineChars="200"/>
        <w:jc w:val="righ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w:t>
      </w:r>
    </w:p>
    <w:p w14:paraId="23989158">
      <w:pPr>
        <w:pStyle w:val="13"/>
        <w:spacing w:line="600" w:lineRule="exact"/>
        <w:rPr>
          <w:rFonts w:ascii="Times New Roman" w:hAnsi="Times New Roman" w:eastAsia="仿宋_GB2312" w:cs="Times New Roman"/>
          <w:sz w:val="32"/>
          <w:szCs w:val="32"/>
        </w:rPr>
      </w:pPr>
    </w:p>
    <w:p w14:paraId="5D9C4438">
      <w:pPr>
        <w:pStyle w:val="13"/>
        <w:spacing w:line="600" w:lineRule="exact"/>
        <w:rPr>
          <w:rFonts w:ascii="Times New Roman" w:hAnsi="Times New Roman" w:eastAsia="仿宋_GB2312" w:cs="Times New Roman"/>
          <w:sz w:val="32"/>
          <w:szCs w:val="32"/>
        </w:rPr>
      </w:pPr>
    </w:p>
    <w:p w14:paraId="1143D90A">
      <w:pPr>
        <w:pStyle w:val="13"/>
        <w:spacing w:line="600" w:lineRule="exact"/>
        <w:rPr>
          <w:rFonts w:ascii="Times New Roman" w:hAnsi="Times New Roman" w:eastAsia="仿宋_GB2312" w:cs="Times New Roman"/>
          <w:sz w:val="32"/>
          <w:szCs w:val="32"/>
        </w:rPr>
      </w:pPr>
    </w:p>
    <w:p w14:paraId="6B21D51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480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19D2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DE908">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2E9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1302B">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311302B">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0504A7"/>
    <w:multiLevelType w:val="singleLevel"/>
    <w:tmpl w:val="FB0504A7"/>
    <w:lvl w:ilvl="0" w:tentative="0">
      <w:start w:val="5"/>
      <w:numFmt w:val="chineseCounting"/>
      <w:suff w:val="space"/>
      <w:lvlText w:val="第%1部分"/>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F4A480"/>
    <w:multiLevelType w:val="singleLevel"/>
    <w:tmpl w:val="42F4A480"/>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84089C"/>
    <w:rsid w:val="082717D5"/>
    <w:rsid w:val="164D1414"/>
    <w:rsid w:val="173E4421"/>
    <w:rsid w:val="1D97DEFF"/>
    <w:rsid w:val="1DFF72E5"/>
    <w:rsid w:val="1EFC6F07"/>
    <w:rsid w:val="1FBB07ED"/>
    <w:rsid w:val="26907874"/>
    <w:rsid w:val="2D2535DF"/>
    <w:rsid w:val="2FDF85B8"/>
    <w:rsid w:val="2FFFEE04"/>
    <w:rsid w:val="31C17172"/>
    <w:rsid w:val="34DF85B0"/>
    <w:rsid w:val="359D6D3A"/>
    <w:rsid w:val="3B8F36BC"/>
    <w:rsid w:val="3E44710C"/>
    <w:rsid w:val="3F491C06"/>
    <w:rsid w:val="40723D23"/>
    <w:rsid w:val="48645AFB"/>
    <w:rsid w:val="491FF225"/>
    <w:rsid w:val="4D964758"/>
    <w:rsid w:val="4FFD214C"/>
    <w:rsid w:val="549E3CFC"/>
    <w:rsid w:val="55C40C9B"/>
    <w:rsid w:val="5777D4F5"/>
    <w:rsid w:val="59DD8326"/>
    <w:rsid w:val="5CBB2F49"/>
    <w:rsid w:val="5DEF592A"/>
    <w:rsid w:val="5FC6BB1E"/>
    <w:rsid w:val="5FF720F1"/>
    <w:rsid w:val="61C40F61"/>
    <w:rsid w:val="66855163"/>
    <w:rsid w:val="67FF5C0B"/>
    <w:rsid w:val="6EFC0924"/>
    <w:rsid w:val="6F974D1A"/>
    <w:rsid w:val="6FB74722"/>
    <w:rsid w:val="6FEF8B7E"/>
    <w:rsid w:val="71A6591B"/>
    <w:rsid w:val="737D59BA"/>
    <w:rsid w:val="77C37683"/>
    <w:rsid w:val="78174378"/>
    <w:rsid w:val="78E43140"/>
    <w:rsid w:val="79D19834"/>
    <w:rsid w:val="79FF515B"/>
    <w:rsid w:val="7CF36E72"/>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6448</Words>
  <Characters>6863</Characters>
  <Lines>69</Lines>
  <Paragraphs>19</Paragraphs>
  <TotalTime>3</TotalTime>
  <ScaleCrop>false</ScaleCrop>
  <LinksUpToDate>false</LinksUpToDate>
  <CharactersWithSpaces>6903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心晴</cp:lastModifiedBy>
  <cp:lastPrinted>2024-08-08T18:20:00Z</cp:lastPrinted>
  <dcterms:modified xsi:type="dcterms:W3CDTF">2025-10-16T02:59:09Z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eyJoZGlkIjoiMDA0NWM0ZGY1NDI5Njk5Njk5NzEzMTA4MjdjODQxOGEiLCJ1c2VySWQiOiIzODk0NjE2MzYifQ==</vt:lpwstr>
  </property>
</Properties>
</file>