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AFC2C">
      <w:pPr>
        <w:pStyle w:val="12"/>
        <w:jc w:val="both"/>
        <w:rPr>
          <w:rFonts w:hAnsi="黑体"/>
          <w:sz w:val="36"/>
          <w:szCs w:val="36"/>
        </w:rPr>
      </w:pPr>
      <w:r>
        <w:rPr>
          <w:rFonts w:hint="eastAsia" w:hAnsi="黑体"/>
          <w:sz w:val="36"/>
          <w:szCs w:val="36"/>
        </w:rPr>
        <w:t>附件1</w:t>
      </w:r>
    </w:p>
    <w:p w14:paraId="4DF99991">
      <w:pPr>
        <w:pStyle w:val="12"/>
        <w:jc w:val="center"/>
        <w:rPr>
          <w:rFonts w:ascii="Times New Roman" w:hAnsi="Times New Roman" w:cs="Times New Roman"/>
          <w:sz w:val="56"/>
          <w:szCs w:val="56"/>
        </w:rPr>
      </w:pPr>
    </w:p>
    <w:p w14:paraId="501405DC">
      <w:pPr>
        <w:pStyle w:val="12"/>
        <w:jc w:val="center"/>
        <w:rPr>
          <w:rFonts w:ascii="Times New Roman" w:hAnsi="Times New Roman" w:cs="Times New Roman"/>
          <w:sz w:val="84"/>
          <w:szCs w:val="84"/>
        </w:rPr>
      </w:pPr>
    </w:p>
    <w:p w14:paraId="0DFCCBE3">
      <w:pPr>
        <w:pStyle w:val="12"/>
        <w:jc w:val="center"/>
        <w:rPr>
          <w:rFonts w:ascii="Times New Roman" w:hAnsi="Times New Roman" w:cs="Times New Roman"/>
          <w:sz w:val="84"/>
          <w:szCs w:val="84"/>
        </w:rPr>
      </w:pPr>
    </w:p>
    <w:p w14:paraId="60D176DE">
      <w:pPr>
        <w:pStyle w:val="12"/>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2FC5CE09">
      <w:pPr>
        <w:pStyle w:val="12"/>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中共沅江市委党校</w:t>
      </w:r>
      <w:r>
        <w:rPr>
          <w:rFonts w:ascii="Times New Roman" w:hAnsi="Times New Roman" w:eastAsia="方正小标宋简体" w:cs="Times New Roman"/>
          <w:sz w:val="72"/>
          <w:szCs w:val="72"/>
        </w:rPr>
        <w:t>部门决算</w:t>
      </w:r>
    </w:p>
    <w:p w14:paraId="14252D8E">
      <w:pPr>
        <w:pStyle w:val="12"/>
        <w:jc w:val="center"/>
        <w:rPr>
          <w:rFonts w:ascii="Times New Roman" w:hAnsi="Times New Roman" w:eastAsia="方正小标宋_GBK" w:cs="Times New Roman"/>
          <w:sz w:val="56"/>
          <w:szCs w:val="56"/>
        </w:rPr>
      </w:pPr>
    </w:p>
    <w:p w14:paraId="19475F08">
      <w:pPr>
        <w:pStyle w:val="12"/>
        <w:jc w:val="center"/>
        <w:rPr>
          <w:rFonts w:ascii="Times New Roman" w:hAnsi="Times New Roman" w:cs="Times New Roman"/>
          <w:sz w:val="56"/>
          <w:szCs w:val="56"/>
        </w:rPr>
      </w:pPr>
    </w:p>
    <w:p w14:paraId="42548FFD">
      <w:pPr>
        <w:pStyle w:val="12"/>
        <w:rPr>
          <w:rFonts w:ascii="Times New Roman" w:hAnsi="Times New Roman" w:cs="Times New Roman"/>
          <w:sz w:val="56"/>
          <w:szCs w:val="56"/>
        </w:rPr>
      </w:pPr>
    </w:p>
    <w:p w14:paraId="48D49827">
      <w:pPr>
        <w:pStyle w:val="12"/>
        <w:jc w:val="center"/>
        <w:rPr>
          <w:rFonts w:ascii="Times New Roman" w:hAnsi="Times New Roman" w:cs="Times New Roman"/>
          <w:sz w:val="32"/>
          <w:szCs w:val="32"/>
        </w:rPr>
      </w:pPr>
    </w:p>
    <w:p w14:paraId="3EC831D9">
      <w:pPr>
        <w:pStyle w:val="12"/>
        <w:jc w:val="center"/>
        <w:rPr>
          <w:rFonts w:ascii="Times New Roman" w:hAnsi="Times New Roman" w:cs="Times New Roman"/>
          <w:sz w:val="32"/>
          <w:szCs w:val="32"/>
        </w:rPr>
      </w:pPr>
    </w:p>
    <w:p w14:paraId="3A0B24CB">
      <w:pPr>
        <w:pStyle w:val="12"/>
        <w:jc w:val="center"/>
        <w:rPr>
          <w:rFonts w:ascii="Times New Roman" w:hAnsi="Times New Roman" w:cs="Times New Roman"/>
          <w:sz w:val="32"/>
          <w:szCs w:val="32"/>
        </w:rPr>
      </w:pPr>
    </w:p>
    <w:p w14:paraId="1F025058">
      <w:pPr>
        <w:pStyle w:val="12"/>
        <w:jc w:val="center"/>
        <w:rPr>
          <w:rFonts w:ascii="Times New Roman" w:hAnsi="Times New Roman" w:cs="Times New Roman"/>
          <w:sz w:val="32"/>
          <w:szCs w:val="32"/>
        </w:rPr>
      </w:pPr>
    </w:p>
    <w:p w14:paraId="1F5E0236">
      <w:pPr>
        <w:pStyle w:val="12"/>
        <w:jc w:val="center"/>
        <w:rPr>
          <w:rFonts w:ascii="Times New Roman" w:hAnsi="Times New Roman" w:cs="Times New Roman"/>
          <w:sz w:val="32"/>
          <w:szCs w:val="32"/>
        </w:rPr>
      </w:pPr>
    </w:p>
    <w:p w14:paraId="644F1627">
      <w:pPr>
        <w:pStyle w:val="12"/>
        <w:jc w:val="center"/>
        <w:rPr>
          <w:rFonts w:ascii="Times New Roman" w:hAnsi="Times New Roman" w:cs="Times New Roman"/>
          <w:sz w:val="32"/>
          <w:szCs w:val="32"/>
        </w:rPr>
      </w:pPr>
    </w:p>
    <w:p w14:paraId="2C771705">
      <w:pPr>
        <w:pStyle w:val="12"/>
        <w:spacing w:line="540" w:lineRule="exact"/>
        <w:jc w:val="center"/>
        <w:rPr>
          <w:rFonts w:ascii="Times New Roman" w:hAnsi="Times New Roman" w:cs="Times New Roman"/>
          <w:sz w:val="56"/>
          <w:szCs w:val="56"/>
        </w:rPr>
      </w:pPr>
    </w:p>
    <w:p w14:paraId="7882F591">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1DE8B851">
      <w:pPr>
        <w:pStyle w:val="12"/>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6CB0CD6B">
      <w:pPr>
        <w:pStyle w:val="12"/>
        <w:spacing w:line="600" w:lineRule="exact"/>
        <w:jc w:val="both"/>
        <w:rPr>
          <w:rFonts w:ascii="Times New Roman" w:hAnsi="Times New Roman" w:cs="Times New Roman"/>
          <w:b/>
          <w:sz w:val="36"/>
          <w:szCs w:val="28"/>
        </w:rPr>
      </w:pPr>
    </w:p>
    <w:p w14:paraId="6D506343">
      <w:pPr>
        <w:pStyle w:val="12"/>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4CB8CD99">
      <w:pPr>
        <w:pStyle w:val="12"/>
        <w:spacing w:line="600" w:lineRule="exact"/>
        <w:jc w:val="center"/>
        <w:rPr>
          <w:rFonts w:ascii="Times New Roman" w:hAnsi="Times New Roman" w:cs="Times New Roman"/>
          <w:b/>
          <w:sz w:val="36"/>
          <w:szCs w:val="28"/>
        </w:rPr>
      </w:pPr>
    </w:p>
    <w:p w14:paraId="21182657">
      <w:pPr>
        <w:pStyle w:val="12"/>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中共沅江市委党校</w:t>
      </w:r>
      <w:r>
        <w:rPr>
          <w:rFonts w:ascii="Times New Roman" w:hAnsi="Times New Roman" w:cs="Times New Roman"/>
          <w:bCs/>
          <w:sz w:val="32"/>
          <w:szCs w:val="32"/>
        </w:rPr>
        <w:t>概况</w:t>
      </w:r>
    </w:p>
    <w:p w14:paraId="4B9CE96A">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35E61266">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4EC3D4B1">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67BBC2D9">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4419AF56">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6BF46D19">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68176922">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417EDED7">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38B11AC0">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03F6A31C">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51944777">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2E7D2472">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50D80C4E">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377D0B97">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40BB0BED">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388121B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6892CA8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408E064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78C93A60">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772CE74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51BBA67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5679C21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27A3B09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7B0F743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0741CD4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46AF883F">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24C9D8EB">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749BC97E">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34CD6EA0">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30242946">
      <w:pPr>
        <w:pStyle w:val="12"/>
        <w:spacing w:line="600" w:lineRule="exact"/>
        <w:rPr>
          <w:rFonts w:ascii="Times New Roman" w:hAnsi="Times New Roman" w:cs="Times New Roman"/>
          <w:bCs/>
          <w:sz w:val="28"/>
          <w:szCs w:val="28"/>
        </w:rPr>
      </w:pPr>
    </w:p>
    <w:p w14:paraId="255810A4">
      <w:pPr>
        <w:jc w:val="center"/>
        <w:rPr>
          <w:rFonts w:ascii="Times New Roman" w:hAnsi="Times New Roman" w:cs="Times New Roman"/>
          <w:sz w:val="72"/>
          <w:szCs w:val="72"/>
        </w:rPr>
      </w:pPr>
    </w:p>
    <w:p w14:paraId="17ABCA91">
      <w:pPr>
        <w:jc w:val="center"/>
        <w:rPr>
          <w:rFonts w:ascii="Times New Roman" w:hAnsi="Times New Roman" w:cs="Times New Roman"/>
          <w:sz w:val="72"/>
          <w:szCs w:val="72"/>
        </w:rPr>
      </w:pPr>
    </w:p>
    <w:p w14:paraId="6B64B872">
      <w:pPr>
        <w:jc w:val="center"/>
        <w:rPr>
          <w:rFonts w:ascii="Times New Roman" w:hAnsi="Times New Roman" w:cs="Times New Roman"/>
          <w:sz w:val="72"/>
          <w:szCs w:val="72"/>
        </w:rPr>
      </w:pPr>
    </w:p>
    <w:p w14:paraId="739AB67E">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03D976BF">
      <w:pPr>
        <w:rPr>
          <w:rFonts w:ascii="Times New Roman" w:hAnsi="Times New Roman" w:eastAsia="方正小标宋_GBK" w:cs="Times New Roman"/>
          <w:sz w:val="72"/>
          <w:szCs w:val="72"/>
        </w:rPr>
      </w:pPr>
    </w:p>
    <w:p w14:paraId="621FA120">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40C1DEB2">
      <w:pPr>
        <w:pStyle w:val="12"/>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中共沅江市委党校</w:t>
      </w:r>
      <w:r>
        <w:rPr>
          <w:rFonts w:ascii="Times New Roman" w:hAnsi="Times New Roman" w:eastAsia="方正小标宋_GBK" w:cs="Times New Roman"/>
          <w:sz w:val="52"/>
          <w:szCs w:val="52"/>
        </w:rPr>
        <w:t>概况</w:t>
      </w:r>
    </w:p>
    <w:p w14:paraId="7B1A84F8">
      <w:pPr>
        <w:pStyle w:val="3"/>
        <w:ind w:left="0" w:leftChars="0" w:firstLine="0" w:firstLineChars="0"/>
        <w:rPr>
          <w:rFonts w:ascii="Times New Roman" w:hAnsi="Times New Roman" w:cs="Times New Roman"/>
        </w:rPr>
      </w:pPr>
    </w:p>
    <w:p w14:paraId="2BEF20B1">
      <w:pPr>
        <w:pStyle w:val="13"/>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212DEAA4">
      <w:pPr>
        <w:numPr>
          <w:ilvl w:val="0"/>
          <w:numId w:val="1"/>
        </w:num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宣传马列主义、毛泽东思想、邓小平理论、“三个代表”重要思想及科学发展观等党的理论成果，宣传党的路线方针政策</w:t>
      </w:r>
      <w:r>
        <w:rPr>
          <w:rFonts w:hint="eastAsia" w:ascii="Times New Roman" w:hAnsi="Times New Roman" w:eastAsia="仿宋_GB2312" w:cs="仿宋_GB2312"/>
          <w:sz w:val="32"/>
          <w:szCs w:val="32"/>
          <w:lang w:eastAsia="zh-CN"/>
        </w:rPr>
        <w:t>；</w:t>
      </w:r>
    </w:p>
    <w:p w14:paraId="03F4B7C6">
      <w:pPr>
        <w:numPr>
          <w:ilvl w:val="0"/>
          <w:numId w:val="1"/>
        </w:num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轮训乡科级领导干部和基层党员干部</w:t>
      </w:r>
      <w:r>
        <w:rPr>
          <w:rFonts w:hint="eastAsia" w:ascii="Times New Roman" w:hAnsi="Times New Roman" w:eastAsia="仿宋_GB2312" w:cs="仿宋_GB2312"/>
          <w:sz w:val="32"/>
          <w:szCs w:val="32"/>
          <w:lang w:eastAsia="zh-CN"/>
        </w:rPr>
        <w:t>；</w:t>
      </w:r>
    </w:p>
    <w:p w14:paraId="25B21F1F">
      <w:pPr>
        <w:numPr>
          <w:ilvl w:val="0"/>
          <w:numId w:val="1"/>
        </w:num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培训公务员和非党干部</w:t>
      </w:r>
      <w:r>
        <w:rPr>
          <w:rFonts w:hint="eastAsia" w:ascii="Times New Roman" w:hAnsi="Times New Roman" w:eastAsia="仿宋_GB2312" w:cs="仿宋_GB2312"/>
          <w:sz w:val="32"/>
          <w:szCs w:val="32"/>
          <w:lang w:eastAsia="zh-CN"/>
        </w:rPr>
        <w:t>；</w:t>
      </w:r>
    </w:p>
    <w:p w14:paraId="3CB7F31C">
      <w:pPr>
        <w:numPr>
          <w:ilvl w:val="0"/>
          <w:numId w:val="1"/>
        </w:num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培训中青年后备干部</w:t>
      </w:r>
      <w:r>
        <w:rPr>
          <w:rFonts w:hint="eastAsia" w:ascii="Times New Roman" w:hAnsi="Times New Roman" w:eastAsia="仿宋_GB2312" w:cs="仿宋_GB2312"/>
          <w:sz w:val="32"/>
          <w:szCs w:val="32"/>
          <w:lang w:eastAsia="zh-CN"/>
        </w:rPr>
        <w:t>；</w:t>
      </w:r>
    </w:p>
    <w:p w14:paraId="70C451A4">
      <w:pPr>
        <w:numPr>
          <w:ilvl w:val="0"/>
          <w:numId w:val="1"/>
        </w:num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培训从事意识形态工作的领导干部和理论骨干</w:t>
      </w:r>
      <w:r>
        <w:rPr>
          <w:rFonts w:hint="eastAsia" w:ascii="Times New Roman" w:hAnsi="Times New Roman" w:eastAsia="仿宋_GB2312" w:cs="仿宋_GB2312"/>
          <w:sz w:val="32"/>
          <w:szCs w:val="32"/>
          <w:lang w:eastAsia="zh-CN"/>
        </w:rPr>
        <w:t>；</w:t>
      </w:r>
    </w:p>
    <w:p w14:paraId="61D83213">
      <w:pPr>
        <w:numPr>
          <w:ilvl w:val="0"/>
          <w:numId w:val="1"/>
        </w:num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协同组织人事部门，对学员在校期间进行考核考查</w:t>
      </w:r>
      <w:r>
        <w:rPr>
          <w:rFonts w:hint="eastAsia" w:ascii="Times New Roman" w:hAnsi="Times New Roman" w:eastAsia="仿宋_GB2312" w:cs="仿宋_GB2312"/>
          <w:sz w:val="32"/>
          <w:szCs w:val="32"/>
          <w:lang w:eastAsia="zh-CN"/>
        </w:rPr>
        <w:t>；</w:t>
      </w:r>
    </w:p>
    <w:p w14:paraId="71AAC59E">
      <w:pPr>
        <w:numPr>
          <w:ilvl w:val="0"/>
          <w:numId w:val="1"/>
        </w:num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围绕国际国内出现的新情况、新问题，开展科学研究，承担上级下达的调研任务</w:t>
      </w:r>
      <w:r>
        <w:rPr>
          <w:rFonts w:hint="eastAsia" w:ascii="Times New Roman" w:hAnsi="Times New Roman" w:eastAsia="仿宋_GB2312" w:cs="仿宋_GB2312"/>
          <w:sz w:val="32"/>
          <w:szCs w:val="32"/>
          <w:lang w:eastAsia="zh-CN"/>
        </w:rPr>
        <w:t>；</w:t>
      </w:r>
    </w:p>
    <w:p w14:paraId="119E6FC3">
      <w:pPr>
        <w:numPr>
          <w:ilvl w:val="0"/>
          <w:numId w:val="1"/>
        </w:num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承办市委、市人民政府交办的其他工作。</w:t>
      </w:r>
    </w:p>
    <w:p w14:paraId="6B535840">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5A83C2C5">
      <w:pPr>
        <w:widowControl/>
        <w:spacing w:line="600" w:lineRule="exact"/>
        <w:rPr>
          <w:rFonts w:hint="eastAsia" w:asciiTheme="minorEastAsia" w:hAnsiTheme="minorEastAsia"/>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仿宋_GB2312"/>
          <w:bCs/>
          <w:kern w:val="0"/>
          <w:sz w:val="32"/>
          <w:szCs w:val="32"/>
          <w:lang w:val="en-US" w:eastAsia="zh-CN"/>
        </w:rPr>
        <w:t>本单位</w:t>
      </w:r>
      <w:r>
        <w:rPr>
          <w:rFonts w:hint="eastAsia" w:ascii="Times New Roman" w:hAnsi="Times New Roman" w:eastAsia="仿宋_GB2312" w:cs="仿宋_GB2312"/>
          <w:bCs/>
          <w:kern w:val="0"/>
          <w:sz w:val="32"/>
          <w:szCs w:val="32"/>
        </w:rPr>
        <w:t>内设机构包括：</w:t>
      </w:r>
      <w:r>
        <w:rPr>
          <w:rFonts w:hint="eastAsia" w:asciiTheme="minorEastAsia" w:hAnsiTheme="minorEastAsia"/>
          <w:bCs/>
          <w:kern w:val="0"/>
          <w:sz w:val="32"/>
          <w:szCs w:val="32"/>
        </w:rPr>
        <w:t>办公室、行政室、教研室、教务室、图书</w:t>
      </w:r>
      <w:r>
        <w:rPr>
          <w:rFonts w:hint="eastAsia" w:asciiTheme="minorEastAsia" w:hAnsiTheme="minorEastAsia"/>
          <w:bCs/>
          <w:kern w:val="0"/>
          <w:sz w:val="32"/>
          <w:szCs w:val="32"/>
          <w:lang w:val="en-US" w:eastAsia="zh-CN"/>
        </w:rPr>
        <w:t>资料信息</w:t>
      </w:r>
      <w:r>
        <w:rPr>
          <w:rFonts w:hint="eastAsia" w:asciiTheme="minorEastAsia" w:hAnsiTheme="minorEastAsia"/>
          <w:bCs/>
          <w:kern w:val="0"/>
          <w:sz w:val="32"/>
          <w:szCs w:val="32"/>
        </w:rPr>
        <w:t>中心。</w:t>
      </w:r>
    </w:p>
    <w:p w14:paraId="74FAF9D1">
      <w:pPr>
        <w:widowControl/>
        <w:spacing w:line="600" w:lineRule="exact"/>
        <w:rPr>
          <w:rFonts w:ascii="Times New Roman" w:hAnsi="Times New Roman" w:eastAsia="仿宋_GB2312" w:cs="Times New Roman"/>
          <w:bCs/>
          <w:kern w:val="0"/>
          <w:sz w:val="32"/>
          <w:szCs w:val="32"/>
        </w:rPr>
      </w:pPr>
    </w:p>
    <w:p w14:paraId="79ED4AB5">
      <w:pPr>
        <w:widowControl/>
        <w:spacing w:line="600" w:lineRule="exact"/>
        <w:rPr>
          <w:rFonts w:hint="eastAsia" w:ascii="Times New Roman" w:hAnsi="Times New Roman" w:eastAsia="仿宋_GB2312" w:cs="仿宋_GB2312"/>
          <w:bCs/>
          <w:kern w:val="0"/>
          <w:sz w:val="32"/>
          <w:szCs w:val="32"/>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仿宋_GB2312"/>
          <w:bCs/>
          <w:kern w:val="0"/>
          <w:sz w:val="32"/>
          <w:szCs w:val="32"/>
          <w:lang w:val="en-US" w:eastAsia="zh-CN"/>
        </w:rPr>
        <w:t>本</w:t>
      </w:r>
      <w:r>
        <w:rPr>
          <w:rFonts w:hint="eastAsia" w:ascii="Times New Roman" w:hAnsi="Times New Roman" w:eastAsia="仿宋_GB2312" w:cs="仿宋_GB2312"/>
          <w:bCs/>
          <w:kern w:val="0"/>
          <w:sz w:val="32"/>
          <w:szCs w:val="32"/>
        </w:rPr>
        <w:t>单位202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val="en-US" w:eastAsia="zh-CN"/>
        </w:rPr>
        <w:t>中共沅江市委党校</w:t>
      </w:r>
      <w:r>
        <w:rPr>
          <w:rFonts w:hint="eastAsia" w:ascii="Times New Roman" w:hAnsi="Times New Roman" w:eastAsia="仿宋_GB2312" w:cs="仿宋_GB2312"/>
          <w:bCs/>
          <w:kern w:val="0"/>
          <w:sz w:val="32"/>
          <w:szCs w:val="32"/>
        </w:rPr>
        <w:t>本级</w:t>
      </w:r>
    </w:p>
    <w:p w14:paraId="3C0CA05F">
      <w:pPr>
        <w:widowControl/>
        <w:spacing w:line="600" w:lineRule="exact"/>
        <w:rPr>
          <w:rFonts w:ascii="Times New Roman" w:hAnsi="Times New Roman" w:eastAsia="仿宋_GB2312" w:cs="Times New Roman"/>
          <w:bCs/>
          <w:kern w:val="0"/>
          <w:sz w:val="32"/>
          <w:szCs w:val="32"/>
        </w:rPr>
      </w:pPr>
    </w:p>
    <w:p w14:paraId="5BF08C49">
      <w:pPr>
        <w:jc w:val="left"/>
        <w:rPr>
          <w:rFonts w:ascii="Times New Roman" w:hAnsi="Times New Roman" w:eastAsia="仿宋_GB2312" w:cs="Times New Roman"/>
          <w:sz w:val="28"/>
          <w:szCs w:val="32"/>
        </w:rPr>
      </w:pPr>
    </w:p>
    <w:p w14:paraId="6F0B768B">
      <w:pPr>
        <w:jc w:val="center"/>
        <w:rPr>
          <w:rFonts w:ascii="Times New Roman" w:hAnsi="Times New Roman" w:eastAsia="黑体" w:cs="Times New Roman"/>
          <w:sz w:val="28"/>
          <w:szCs w:val="28"/>
        </w:rPr>
      </w:pPr>
    </w:p>
    <w:p w14:paraId="731EDD4B">
      <w:pPr>
        <w:jc w:val="center"/>
        <w:rPr>
          <w:rFonts w:ascii="Times New Roman" w:hAnsi="Times New Roman" w:eastAsia="黑体" w:cs="Times New Roman"/>
          <w:sz w:val="28"/>
          <w:szCs w:val="28"/>
        </w:rPr>
      </w:pPr>
    </w:p>
    <w:p w14:paraId="456DEDF2">
      <w:pPr>
        <w:jc w:val="center"/>
        <w:rPr>
          <w:rFonts w:ascii="Times New Roman" w:hAnsi="Times New Roman" w:eastAsia="黑体" w:cs="Times New Roman"/>
          <w:sz w:val="28"/>
          <w:szCs w:val="28"/>
        </w:rPr>
      </w:pPr>
    </w:p>
    <w:p w14:paraId="0653DCE8">
      <w:pPr>
        <w:jc w:val="center"/>
        <w:rPr>
          <w:rFonts w:ascii="Times New Roman" w:hAnsi="Times New Roman" w:eastAsia="黑体" w:cs="Times New Roman"/>
          <w:sz w:val="28"/>
          <w:szCs w:val="28"/>
        </w:rPr>
      </w:pPr>
    </w:p>
    <w:p w14:paraId="0445A012">
      <w:pPr>
        <w:jc w:val="center"/>
        <w:rPr>
          <w:rFonts w:ascii="Times New Roman" w:hAnsi="Times New Roman" w:eastAsia="黑体" w:cs="Times New Roman"/>
          <w:sz w:val="28"/>
          <w:szCs w:val="28"/>
        </w:rPr>
      </w:pPr>
    </w:p>
    <w:p w14:paraId="042CCC65">
      <w:pPr>
        <w:pStyle w:val="7"/>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59F02325">
      <w:pPr>
        <w:pStyle w:val="12"/>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1F296CE2">
      <w:pPr>
        <w:widowControl/>
        <w:jc w:val="both"/>
        <w:rPr>
          <w:rFonts w:ascii="Times New Roman" w:hAnsi="Times New Roman" w:eastAsia="方正小标宋_GBK" w:cs="Times New Roman"/>
          <w:color w:val="000000"/>
          <w:kern w:val="0"/>
          <w:sz w:val="36"/>
          <w:szCs w:val="36"/>
        </w:rPr>
      </w:pPr>
    </w:p>
    <w:p w14:paraId="768E2801">
      <w:pPr>
        <w:pStyle w:val="12"/>
        <w:jc w:val="center"/>
        <w:rPr>
          <w:rFonts w:hint="eastAsia" w:ascii="Times New Roman" w:hAnsi="Times New Roman" w:eastAsia="方正小标宋_GBK" w:cs="Times New Roman"/>
          <w:sz w:val="52"/>
          <w:szCs w:val="52"/>
          <w:lang w:val="en-US" w:eastAsia="zh-CN"/>
        </w:rPr>
      </w:pPr>
      <w:r>
        <w:rPr>
          <w:rFonts w:hint="eastAsia" w:ascii="Times New Roman" w:hAnsi="Times New Roman" w:eastAsia="方正小标宋_GBK" w:cs="Times New Roman"/>
          <w:sz w:val="52"/>
          <w:szCs w:val="52"/>
          <w:lang w:val="en-US" w:eastAsia="zh-CN"/>
        </w:rPr>
        <w:t>见附件</w:t>
      </w:r>
    </w:p>
    <w:p w14:paraId="6CD14556">
      <w:pPr>
        <w:autoSpaceDE w:val="0"/>
        <w:autoSpaceDN w:val="0"/>
        <w:adjustRightInd w:val="0"/>
        <w:ind w:left="315" w:leftChars="150"/>
        <w:jc w:val="left"/>
        <w:rPr>
          <w:rFonts w:ascii="Times New Roman" w:hAnsi="Times New Roman" w:eastAsia="宋体" w:cs="Times New Roman"/>
          <w:kern w:val="0"/>
          <w:sz w:val="24"/>
          <w:szCs w:val="24"/>
        </w:rPr>
      </w:pPr>
    </w:p>
    <w:p w14:paraId="369C3FCF">
      <w:pPr>
        <w:autoSpaceDE w:val="0"/>
        <w:autoSpaceDN w:val="0"/>
        <w:adjustRightInd w:val="0"/>
        <w:ind w:left="315" w:leftChars="150"/>
        <w:jc w:val="left"/>
        <w:rPr>
          <w:rFonts w:ascii="Times New Roman" w:hAnsi="Times New Roman" w:eastAsia="宋体" w:cs="Times New Roman"/>
          <w:kern w:val="0"/>
          <w:sz w:val="24"/>
          <w:szCs w:val="24"/>
        </w:rPr>
      </w:pPr>
    </w:p>
    <w:p w14:paraId="4909E3FE">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7E659599">
      <w:pPr>
        <w:pStyle w:val="12"/>
        <w:rPr>
          <w:rFonts w:ascii="Times New Roman" w:hAnsi="Times New Roman" w:cs="Times New Roman"/>
          <w:sz w:val="72"/>
          <w:szCs w:val="72"/>
        </w:rPr>
      </w:pPr>
    </w:p>
    <w:p w14:paraId="7D6F110E">
      <w:pPr>
        <w:pStyle w:val="12"/>
        <w:rPr>
          <w:rFonts w:ascii="Times New Roman" w:hAnsi="Times New Roman" w:cs="Times New Roman"/>
          <w:sz w:val="72"/>
          <w:szCs w:val="72"/>
        </w:rPr>
      </w:pPr>
    </w:p>
    <w:p w14:paraId="2511B8C2">
      <w:pPr>
        <w:pStyle w:val="12"/>
        <w:rPr>
          <w:rFonts w:ascii="Times New Roman" w:hAnsi="Times New Roman" w:cs="Times New Roman"/>
          <w:sz w:val="72"/>
          <w:szCs w:val="72"/>
        </w:rPr>
      </w:pPr>
    </w:p>
    <w:p w14:paraId="6ED0283D">
      <w:pPr>
        <w:pStyle w:val="12"/>
        <w:jc w:val="center"/>
        <w:rPr>
          <w:rFonts w:ascii="Times New Roman" w:hAnsi="Times New Roman" w:cs="Times New Roman"/>
          <w:sz w:val="72"/>
          <w:szCs w:val="72"/>
        </w:rPr>
      </w:pPr>
    </w:p>
    <w:p w14:paraId="3E97C2FC">
      <w:pPr>
        <w:pStyle w:val="12"/>
        <w:jc w:val="center"/>
        <w:rPr>
          <w:rFonts w:ascii="Times New Roman" w:hAnsi="Times New Roman" w:eastAsia="方正小标宋_GBK" w:cs="Times New Roman"/>
          <w:sz w:val="72"/>
          <w:szCs w:val="72"/>
        </w:rPr>
      </w:pPr>
    </w:p>
    <w:p w14:paraId="36C2B0B3">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2C5C6E69">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6FD72E97">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7EADBA23">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175A06EC">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520.96</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36.66</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项目经费增加。</w:t>
      </w:r>
    </w:p>
    <w:p w14:paraId="2166A133">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7D7EB2EA">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520.96</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520.96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4F80913A">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76D958B0">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520.96</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362.38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70</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158.58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30</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3069E387">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01464BFE">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520.96</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36.66</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项目经费增加。</w:t>
      </w:r>
    </w:p>
    <w:p w14:paraId="724C5A5A">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2C0E42D7">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47734B37">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437.16</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w:t>
      </w:r>
      <w:r>
        <w:rPr>
          <w:rFonts w:hint="eastAsia" w:ascii="Times New Roman" w:hAnsi="Times New Roman" w:eastAsia="仿宋_GB2312" w:cs="Times New Roman"/>
          <w:sz w:val="32"/>
          <w:szCs w:val="32"/>
          <w:lang w:val="en-US" w:eastAsia="zh-CN"/>
        </w:rPr>
        <w:t>减少37.14</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降低8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专项经费减少。</w:t>
      </w:r>
    </w:p>
    <w:p w14:paraId="079B935B">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02A7AB0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437.16</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18.67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4.3</w:t>
      </w:r>
      <w:r>
        <w:rPr>
          <w:rFonts w:ascii="Times New Roman" w:hAnsi="Times New Roman" w:eastAsia="仿宋_GB2312" w:cs="Times New Roman"/>
          <w:sz w:val="32"/>
          <w:szCs w:val="32"/>
        </w:rPr>
        <w:t>%；教育（类）支出</w:t>
      </w:r>
      <w:r>
        <w:rPr>
          <w:rFonts w:hint="eastAsia" w:ascii="Times New Roman" w:hAnsi="Times New Roman" w:eastAsia="仿宋_GB2312" w:cs="Times New Roman"/>
          <w:sz w:val="32"/>
          <w:szCs w:val="32"/>
          <w:lang w:val="en-US" w:eastAsia="zh-CN"/>
        </w:rPr>
        <w:t>386.82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88.5</w:t>
      </w:r>
      <w:r>
        <w:rPr>
          <w:rFonts w:ascii="Times New Roman" w:hAnsi="Times New Roman" w:eastAsia="仿宋_GB2312" w:cs="Times New Roman"/>
          <w:sz w:val="32"/>
          <w:szCs w:val="32"/>
        </w:rPr>
        <w:t>%</w:t>
      </w:r>
      <w:r>
        <w:rPr>
          <w:rFonts w:hint="eastAsia" w:ascii="Times New Roman" w:hAnsi="Times New Roman" w:eastAsia="仿宋_GB2312"/>
          <w:sz w:val="32"/>
          <w:szCs w:val="32"/>
        </w:rPr>
        <w:t>;</w:t>
      </w:r>
      <w:r>
        <w:rPr>
          <w:rFonts w:hint="eastAsia" w:asciiTheme="minorEastAsia" w:hAnsiTheme="minorEastAsia" w:eastAsiaTheme="minorEastAsia"/>
          <w:sz w:val="32"/>
          <w:szCs w:val="32"/>
          <w:lang w:val="en-US" w:eastAsia="zh-CN"/>
        </w:rPr>
        <w:t>卫生健康</w:t>
      </w:r>
      <w:r>
        <w:rPr>
          <w:rFonts w:hint="eastAsia" w:asciiTheme="minorEastAsia" w:hAnsiTheme="minorEastAsia" w:eastAsiaTheme="minorEastAsia"/>
          <w:sz w:val="32"/>
          <w:szCs w:val="32"/>
        </w:rPr>
        <w:t>（类）支出</w:t>
      </w:r>
      <w:r>
        <w:rPr>
          <w:rFonts w:hint="eastAsia" w:asciiTheme="minorEastAsia" w:hAnsiTheme="minorEastAsia" w:eastAsiaTheme="minorEastAsia"/>
          <w:sz w:val="32"/>
          <w:szCs w:val="32"/>
          <w:lang w:val="en-US" w:eastAsia="zh-CN"/>
        </w:rPr>
        <w:t>0.92</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0.2</w:t>
      </w:r>
      <w:r>
        <w:rPr>
          <w:rFonts w:hint="eastAsia" w:ascii="Times New Roman" w:hAnsi="Times New Roman" w:eastAsia="仿宋_GB2312"/>
          <w:sz w:val="32"/>
          <w:szCs w:val="32"/>
        </w:rPr>
        <w:t>%；</w:t>
      </w:r>
      <w:r>
        <w:rPr>
          <w:rFonts w:hint="eastAsia" w:asciiTheme="minorEastAsia" w:hAnsiTheme="minorEastAsia" w:eastAsiaTheme="minorEastAsia"/>
          <w:sz w:val="32"/>
          <w:szCs w:val="32"/>
          <w:lang w:val="en-US" w:eastAsia="zh-CN"/>
        </w:rPr>
        <w:t>社会保障和就业</w:t>
      </w:r>
      <w:r>
        <w:rPr>
          <w:rFonts w:hint="eastAsia" w:asciiTheme="minorEastAsia" w:hAnsiTheme="minorEastAsia" w:eastAsiaTheme="minorEastAsia"/>
          <w:sz w:val="32"/>
          <w:szCs w:val="32"/>
        </w:rPr>
        <w:t>（类）支出</w:t>
      </w:r>
      <w:r>
        <w:rPr>
          <w:rFonts w:hint="eastAsia" w:asciiTheme="minorEastAsia" w:hAnsiTheme="minorEastAsia" w:eastAsiaTheme="minorEastAsia"/>
          <w:sz w:val="32"/>
          <w:szCs w:val="32"/>
          <w:lang w:val="en-US" w:eastAsia="zh-CN"/>
        </w:rPr>
        <w:t>6.14</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1.4</w:t>
      </w:r>
      <w:r>
        <w:rPr>
          <w:rFonts w:hint="eastAsia" w:ascii="Times New Roman" w:hAnsi="Times New Roman" w:eastAsia="仿宋_GB2312"/>
          <w:sz w:val="32"/>
          <w:szCs w:val="32"/>
        </w:rPr>
        <w:t>%；</w:t>
      </w:r>
      <w:r>
        <w:rPr>
          <w:rFonts w:hint="eastAsia" w:asciiTheme="minorEastAsia" w:hAnsiTheme="minorEastAsia" w:eastAsiaTheme="minorEastAsia"/>
          <w:sz w:val="32"/>
          <w:szCs w:val="32"/>
        </w:rPr>
        <w:t>住房保障（类）支出</w:t>
      </w:r>
      <w:r>
        <w:rPr>
          <w:rFonts w:hint="eastAsia" w:asciiTheme="minorEastAsia" w:hAnsiTheme="minorEastAsia" w:eastAsiaTheme="minorEastAsia"/>
          <w:sz w:val="32"/>
          <w:szCs w:val="32"/>
          <w:lang w:val="en-US" w:eastAsia="zh-CN"/>
        </w:rPr>
        <w:t>24.62</w:t>
      </w:r>
      <w:r>
        <w:rPr>
          <w:rFonts w:hint="eastAsia" w:asciiTheme="minorEastAsia" w:hAnsiTheme="minorEastAsia" w:eastAsiaTheme="minorEastAsia"/>
          <w:sz w:val="32"/>
          <w:szCs w:val="32"/>
        </w:rPr>
        <w:t>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5.6</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74E5244F">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15B9C99C">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380.4</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437.16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115</w:t>
      </w:r>
      <w:r>
        <w:rPr>
          <w:rFonts w:ascii="Times New Roman" w:hAnsi="Times New Roman" w:eastAsia="仿宋_GB2312" w:cs="Times New Roman"/>
          <w:sz w:val="32"/>
          <w:szCs w:val="32"/>
        </w:rPr>
        <w:t>%，其中：</w:t>
      </w:r>
    </w:p>
    <w:p w14:paraId="55FCC916">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教育</w:t>
      </w:r>
      <w:r>
        <w:rPr>
          <w:rFonts w:hint="eastAsia" w:ascii="Times New Roman" w:hAnsi="Times New Roman" w:eastAsia="仿宋_GB2312"/>
          <w:sz w:val="32"/>
          <w:szCs w:val="32"/>
        </w:rPr>
        <w:t>（类）。</w:t>
      </w:r>
    </w:p>
    <w:p w14:paraId="4E844C35">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355.78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386.82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108</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val="en-US" w:eastAsia="zh-CN"/>
        </w:rPr>
        <w:t>人员经费及项目经费增加。</w:t>
      </w:r>
    </w:p>
    <w:p w14:paraId="08EF531B">
      <w:pPr>
        <w:pStyle w:val="12"/>
        <w:ind w:firstLine="800" w:firstLineChars="250"/>
        <w:rPr>
          <w:rFonts w:asciiTheme="minorEastAsia" w:hAnsiTheme="minorEastAsia" w:eastAsiaTheme="minorEastAsia"/>
          <w:sz w:val="32"/>
          <w:szCs w:val="32"/>
        </w:rPr>
      </w:pPr>
      <w:r>
        <w:rPr>
          <w:rFonts w:hint="eastAsia" w:ascii="Times New Roman" w:hAnsi="Times New Roman" w:eastAsia="仿宋_GB2312"/>
          <w:sz w:val="32"/>
          <w:szCs w:val="32"/>
        </w:rPr>
        <w:t>2、</w:t>
      </w:r>
      <w:r>
        <w:rPr>
          <w:rFonts w:hint="eastAsia" w:asciiTheme="minorEastAsia" w:hAnsiTheme="minorEastAsia" w:eastAsiaTheme="minorEastAsia"/>
          <w:sz w:val="32"/>
          <w:szCs w:val="32"/>
        </w:rPr>
        <w:t>住房保障（类）</w:t>
      </w:r>
    </w:p>
    <w:p w14:paraId="5EB672E0">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24.62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24.62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461A2230">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一般公共服务支出</w:t>
      </w:r>
      <w:r>
        <w:rPr>
          <w:rFonts w:hint="eastAsia" w:ascii="Times New Roman" w:hAnsi="Times New Roman" w:eastAsia="仿宋_GB2312"/>
          <w:sz w:val="32"/>
          <w:szCs w:val="32"/>
        </w:rPr>
        <w:t>（类）。</w:t>
      </w:r>
    </w:p>
    <w:p w14:paraId="3A90C2A9">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18.67</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增加了组织部办班经费。</w:t>
      </w:r>
    </w:p>
    <w:p w14:paraId="37C21174">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卫生健康</w:t>
      </w:r>
      <w:r>
        <w:rPr>
          <w:rFonts w:hint="eastAsia" w:ascii="Times New Roman" w:hAnsi="Times New Roman" w:eastAsia="仿宋_GB2312"/>
          <w:sz w:val="32"/>
          <w:szCs w:val="32"/>
        </w:rPr>
        <w:t>（类）。</w:t>
      </w:r>
    </w:p>
    <w:p w14:paraId="0D57789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0.92</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增加了退休人员独生子女费。</w:t>
      </w:r>
    </w:p>
    <w:p w14:paraId="2871A317">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、社会保障和就业（类）。</w:t>
      </w:r>
    </w:p>
    <w:p w14:paraId="02227CBC">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s="Times New Roman"/>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6.14</w:t>
      </w:r>
      <w:r>
        <w:rPr>
          <w:rFonts w:hint="eastAsia" w:ascii="Times New Roman" w:hAnsi="Times New Roman" w:eastAsia="仿宋_GB2312"/>
          <w:sz w:val="32"/>
          <w:szCs w:val="32"/>
        </w:rPr>
        <w:t>万元，决算数大于年初预算数的主要原因是：增加了</w:t>
      </w:r>
      <w:r>
        <w:rPr>
          <w:rFonts w:hint="eastAsia" w:ascii="Times New Roman" w:hAnsi="Times New Roman" w:eastAsia="仿宋_GB2312"/>
          <w:sz w:val="32"/>
          <w:szCs w:val="32"/>
          <w:lang w:val="en-US" w:eastAsia="zh-CN"/>
        </w:rPr>
        <w:t>退役军培训班培训经费</w:t>
      </w:r>
      <w:r>
        <w:rPr>
          <w:rFonts w:hint="eastAsia" w:ascii="Times New Roman" w:hAnsi="Times New Roman" w:eastAsia="仿宋_GB2312"/>
          <w:sz w:val="32"/>
          <w:szCs w:val="32"/>
        </w:rPr>
        <w:t>。</w:t>
      </w:r>
    </w:p>
    <w:p w14:paraId="30C2B4EA">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14FE7E2D">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362.38</w:t>
      </w:r>
      <w:r>
        <w:rPr>
          <w:rFonts w:ascii="Times New Roman" w:hAnsi="Times New Roman" w:eastAsia="仿宋_GB2312" w:cs="Times New Roman"/>
          <w:sz w:val="32"/>
          <w:szCs w:val="32"/>
        </w:rPr>
        <w:t>万元，其中：</w:t>
      </w:r>
    </w:p>
    <w:p w14:paraId="2887CE57">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342.27</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94</w:t>
      </w:r>
      <w:r>
        <w:rPr>
          <w:rFonts w:ascii="Times New Roman" w:hAnsi="Times New Roman" w:eastAsia="仿宋_GB2312" w:cs="Times New Roman"/>
          <w:sz w:val="32"/>
          <w:szCs w:val="32"/>
        </w:rPr>
        <w:t>%,</w:t>
      </w:r>
      <w:r>
        <w:rPr>
          <w:rFonts w:hint="eastAsia" w:ascii="Times New Roman" w:hAnsi="Times New Roman" w:eastAsia="仿宋_GB2312"/>
          <w:sz w:val="32"/>
          <w:szCs w:val="32"/>
        </w:rPr>
        <w:t>主要包括</w:t>
      </w:r>
      <w:r>
        <w:rPr>
          <w:rFonts w:asciiTheme="minorEastAsia" w:hAnsiTheme="minorEastAsia" w:eastAsiaTheme="minorEastAsia"/>
          <w:sz w:val="32"/>
          <w:szCs w:val="32"/>
        </w:rPr>
        <w:t>基本工资、津贴补贴</w:t>
      </w:r>
      <w:r>
        <w:rPr>
          <w:rFonts w:hint="eastAsia" w:asciiTheme="minorEastAsia" w:hAnsiTheme="minorEastAsia" w:eastAsiaTheme="minorEastAsia"/>
          <w:sz w:val="32"/>
          <w:szCs w:val="32"/>
        </w:rPr>
        <w:t>、奖金、伙食补助费、机关事业单位基本养老保险缴费、职工基本医疗保险缴费、其他社会保障缴费、住房公积金、医疗费、其他工资福利支出、生活补助、奖励金</w:t>
      </w:r>
      <w:r>
        <w:rPr>
          <w:rFonts w:hint="eastAsia" w:ascii="Times New Roman" w:hAnsi="Times New Roman" w:eastAsia="仿宋_GB2312"/>
          <w:sz w:val="32"/>
          <w:szCs w:val="32"/>
          <w:lang w:eastAsia="zh-CN"/>
        </w:rPr>
        <w:t>。</w:t>
      </w:r>
    </w:p>
    <w:p w14:paraId="07638326">
      <w:pPr>
        <w:pStyle w:val="12"/>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20.11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w:t>
      </w:r>
      <w:r>
        <w:rPr>
          <w:rFonts w:hint="eastAsia" w:ascii="Times New Roman" w:hAnsi="Times New Roman" w:eastAsia="仿宋_GB2312"/>
          <w:sz w:val="32"/>
          <w:szCs w:val="32"/>
        </w:rPr>
        <w:t>主要包括</w:t>
      </w:r>
      <w:r>
        <w:rPr>
          <w:rFonts w:hint="eastAsia" w:asciiTheme="minorEastAsia" w:hAnsiTheme="minorEastAsia" w:eastAsiaTheme="minorEastAsia"/>
          <w:sz w:val="32"/>
          <w:szCs w:val="32"/>
        </w:rPr>
        <w:t>办公费、印刷费、水费、电费、邮电费、差旅费、维修（护）费、培训费、劳务费、工会经费、其他交通费用、其他商品和服务支出。</w:t>
      </w:r>
    </w:p>
    <w:p w14:paraId="458C28C5">
      <w:pPr>
        <w:pStyle w:val="12"/>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1C4EBA8F">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768DFFD7">
      <w:pPr>
        <w:pStyle w:val="12"/>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0.61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0.61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0.01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减少了接待开支</w:t>
      </w:r>
      <w:r>
        <w:rPr>
          <w:rFonts w:ascii="Times New Roman" w:hAnsi="Times New Roman" w:eastAsia="仿宋_GB2312" w:cs="Times New Roman"/>
          <w:sz w:val="32"/>
          <w:szCs w:val="32"/>
        </w:rPr>
        <w:t>。</w:t>
      </w:r>
    </w:p>
    <w:p w14:paraId="51FD8550">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04FD91B5">
      <w:pPr>
        <w:pStyle w:val="12"/>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val="en-US" w:eastAsia="zh-CN"/>
        </w:rPr>
        <w:t>.</w:t>
      </w:r>
    </w:p>
    <w:p w14:paraId="4DDD313B">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w:t>
      </w:r>
    </w:p>
    <w:p w14:paraId="5358D9AC">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69E6C503">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14:paraId="5189E033">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0.61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0.61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0.01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减少了接待开支</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34</w:t>
      </w:r>
      <w:r>
        <w:rPr>
          <w:rFonts w:ascii="Times New Roman" w:hAnsi="Times New Roman" w:eastAsia="仿宋_GB2312" w:cs="Times New Roman"/>
          <w:sz w:val="32"/>
          <w:szCs w:val="32"/>
        </w:rPr>
        <w:t>人次</w:t>
      </w:r>
      <w:r>
        <w:rPr>
          <w:rFonts w:ascii="Times New Roman" w:hAnsi="Times New Roman" w:eastAsia="楷体_GB2312" w:cs="Times New Roman"/>
          <w:b/>
          <w:bCs/>
          <w:i/>
          <w:color w:val="auto"/>
          <w:sz w:val="32"/>
          <w:szCs w:val="32"/>
        </w:rPr>
        <w:t>（精确到个位数）</w:t>
      </w: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val="en-US" w:eastAsia="zh-CN"/>
        </w:rPr>
        <w:t>主体班授课老师接待</w:t>
      </w:r>
      <w:r>
        <w:rPr>
          <w:rFonts w:ascii="Times New Roman" w:hAnsi="Times New Roman" w:eastAsia="仿宋_GB2312" w:cs="Times New Roman"/>
          <w:sz w:val="32"/>
          <w:szCs w:val="32"/>
        </w:rPr>
        <w:t>发生的接待支出。</w:t>
      </w:r>
    </w:p>
    <w:p w14:paraId="37B07F49">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4DAB341C">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83.8</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83.8</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83.8</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620725CC">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农林水支出</w:t>
      </w:r>
      <w:r>
        <w:rPr>
          <w:rFonts w:ascii="Times New Roman" w:hAnsi="Times New Roman" w:eastAsia="仿宋_GB2312" w:cs="Times New Roman"/>
          <w:sz w:val="32"/>
          <w:szCs w:val="32"/>
        </w:rPr>
        <w:t>。</w:t>
      </w:r>
    </w:p>
    <w:p w14:paraId="6D9EEB8C">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83.8</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追加了项目经费。</w:t>
      </w:r>
    </w:p>
    <w:p w14:paraId="0B300C31">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15CE3E9E">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20.11</w:t>
      </w:r>
      <w:r>
        <w:rPr>
          <w:rFonts w:ascii="Times New Roman" w:hAnsi="Times New Roman" w:eastAsia="仿宋_GB2312" w:cs="Times New Roman"/>
          <w:sz w:val="32"/>
          <w:szCs w:val="32"/>
        </w:rPr>
        <w:t>万元</w:t>
      </w:r>
      <w:r>
        <w:rPr>
          <w:rFonts w:ascii="Times New Roman" w:hAnsi="Times New Roman" w:eastAsia="楷体_GB2312" w:cs="Times New Roman"/>
          <w:b/>
          <w:bCs/>
          <w:i/>
          <w:color w:val="auto"/>
          <w:sz w:val="32"/>
          <w:szCs w:val="32"/>
        </w:rPr>
        <w:t>（与部门决算中行政单位和参照公务员法管理事业单位财政拨款基本支出中公用经费之和一致）</w:t>
      </w:r>
      <w:r>
        <w:rPr>
          <w:rFonts w:ascii="Times New Roman" w:hAnsi="Times New Roman" w:eastAsia="仿宋_GB2312" w:cs="Times New Roman"/>
          <w:sz w:val="32"/>
          <w:szCs w:val="32"/>
        </w:rPr>
        <w:t>，比年初预算数上年决算数减少</w:t>
      </w:r>
      <w:r>
        <w:rPr>
          <w:rFonts w:hint="eastAsia" w:ascii="Times New Roman" w:hAnsi="Times New Roman" w:eastAsia="仿宋_GB2312" w:cs="Times New Roman"/>
          <w:sz w:val="32"/>
          <w:szCs w:val="32"/>
          <w:lang w:val="en-US" w:eastAsia="zh-CN"/>
        </w:rPr>
        <w:t>2.01</w:t>
      </w:r>
      <w:r>
        <w:rPr>
          <w:rFonts w:ascii="Times New Roman" w:hAnsi="Times New Roman" w:eastAsia="仿宋_GB2312" w:cs="Times New Roman"/>
          <w:sz w:val="32"/>
          <w:szCs w:val="32"/>
        </w:rPr>
        <w:t xml:space="preserve"> 万元，降低</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减少了行政运行经费使用</w:t>
      </w:r>
      <w:r>
        <w:rPr>
          <w:rFonts w:ascii="Times New Roman" w:hAnsi="Times New Roman" w:eastAsia="仿宋_GB2312" w:cs="Times New Roman"/>
          <w:sz w:val="32"/>
          <w:szCs w:val="32"/>
        </w:rPr>
        <w:t>。</w:t>
      </w:r>
    </w:p>
    <w:p w14:paraId="25675492">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508A5694">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lang w:val="en-US" w:eastAsia="zh-CN"/>
        </w:rPr>
        <w:t>0.15</w:t>
      </w:r>
      <w:r>
        <w:rPr>
          <w:rFonts w:ascii="Times New Roman" w:hAnsi="Times New Roman" w:eastAsia="仿宋_GB2312" w:cs="Times New Roman"/>
          <w:sz w:val="32"/>
          <w:szCs w:val="32"/>
        </w:rPr>
        <w:t>万元，用于</w:t>
      </w:r>
      <w:r>
        <w:rPr>
          <w:rFonts w:hint="eastAsia" w:ascii="Times New Roman" w:hAnsi="Times New Roman" w:eastAsia="仿宋_GB2312" w:cs="Times New Roman"/>
          <w:sz w:val="32"/>
          <w:szCs w:val="32"/>
          <w:lang w:val="en-US" w:eastAsia="zh-CN"/>
        </w:rPr>
        <w:t>事业编制人员的继续教育</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18</w:t>
      </w:r>
      <w:r>
        <w:rPr>
          <w:rFonts w:ascii="Times New Roman" w:hAnsi="Times New Roman" w:eastAsia="仿宋_GB2312" w:cs="Times New Roman"/>
          <w:sz w:val="32"/>
          <w:szCs w:val="32"/>
        </w:rPr>
        <w:t>人</w:t>
      </w:r>
      <w:r>
        <w:rPr>
          <w:rFonts w:hint="eastAsia" w:ascii="Times New Roman" w:hAnsi="Times New Roman" w:eastAsia="仿宋_GB2312" w:cs="Times New Roman"/>
          <w:sz w:val="32"/>
          <w:szCs w:val="32"/>
          <w:lang w:eastAsia="zh-CN"/>
        </w:rPr>
        <w:t>。</w:t>
      </w:r>
      <w:r>
        <w:rPr>
          <w:rFonts w:ascii="Times New Roman" w:hAnsi="Times New Roman" w:eastAsia="楷体" w:cs="Times New Roman"/>
          <w:b/>
          <w:bCs/>
          <w:i/>
          <w:color w:val="auto"/>
          <w:sz w:val="32"/>
          <w:szCs w:val="32"/>
        </w:rPr>
        <w:t>（注：三类会议、培训活动，节庆、晚会、论坛、赛事等活动，请分项列明活动计划及经费预算情况）</w:t>
      </w:r>
    </w:p>
    <w:p w14:paraId="64A7872C">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73F9F759">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2.35</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2.35</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2.35</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r>
        <w:rPr>
          <w:rFonts w:ascii="Times New Roman" w:hAnsi="Times New Roman" w:eastAsia="楷体_GB2312" w:cs="Times New Roman"/>
          <w:b/>
          <w:bCs/>
          <w:i/>
          <w:color w:val="auto"/>
          <w:sz w:val="32"/>
          <w:szCs w:val="32"/>
        </w:rPr>
        <w:t>（政府采购金额的计算口径为：本部门纳入2024年度部门预算范围的各项政府采购支出金额之和，不包括涉密采购项目的支出金额）</w:t>
      </w:r>
    </w:p>
    <w:p w14:paraId="33C8AF55">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0304B5F3">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382D9D17">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045B19B3">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73.92</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74.78</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17</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83.8</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二是部门评价开展情况（如有，一级预算部门填写）。</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sz w:val="32"/>
          <w:szCs w:val="32"/>
          <w:lang w:val="en-US" w:eastAsia="zh-CN"/>
        </w:rPr>
        <w:t>教学、科研、图书购置及教师调研、进修项目</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rPr>
        <w:t>主体班教育经费</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rPr>
        <w:t>物业管理项目</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rPr>
        <w:t>教学设备购置更新项目</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74.78</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三是事前绩效评估开展情况（如有，一级预算部门填写）。</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14:paraId="1EE5F60A">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380.4</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520.96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好</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lang w:val="en-US" w:eastAsia="zh-CN"/>
        </w:rPr>
        <w:t>教师教研</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val="en-US" w:eastAsia="zh-CN"/>
        </w:rPr>
        <w:t>主体班培训</w:t>
      </w:r>
      <w:r>
        <w:rPr>
          <w:rFonts w:ascii="Times New Roman" w:hAnsi="Times New Roman" w:eastAsia="仿宋_GB2312" w:cs="Times New Roman"/>
          <w:sz w:val="32"/>
          <w:szCs w:val="32"/>
        </w:rPr>
        <w:t>。</w:t>
      </w:r>
      <w:r>
        <w:rPr>
          <w:rFonts w:ascii="Times New Roman" w:hAnsi="Times New Roman" w:eastAsia="仿宋_GB2312" w:cs="Times New Roman"/>
          <w:b/>
          <w:bCs/>
          <w:kern w:val="0"/>
          <w:sz w:val="32"/>
          <w:szCs w:val="32"/>
        </w:rPr>
        <w:t>二是部门评价结果（如有，一级预算部门填写）。</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lang w:val="en-US" w:eastAsia="zh-CN"/>
        </w:rPr>
        <w:t>教学、科研、图书购置及教师调研、进修项目</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13.12</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好</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rPr>
        <w:t>主体班教育经费</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51.2</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50.29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99.78</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好</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rPr>
        <w:t>物业管理项目</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4.48</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4.6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好</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rPr>
        <w:t>教学设备购置更新项目</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4.48</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89</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98.9</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好</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三是事前绩效评估结果（如有，一级预算部门填写）。</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29EEE92D">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仿宋_GB2312" w:cs="Times New Roman"/>
          <w:color w:val="auto"/>
          <w:sz w:val="32"/>
          <w:szCs w:val="32"/>
        </w:rPr>
        <w:t>2024年部门整体支出绩效自评结果为</w:t>
      </w:r>
      <w:r>
        <w:rPr>
          <w:rFonts w:hint="eastAsia" w:ascii="Times New Roman" w:hAnsi="Times New Roman" w:eastAsia="仿宋_GB2312" w:cs="Times New Roman"/>
          <w:color w:val="auto"/>
          <w:sz w:val="32"/>
          <w:szCs w:val="32"/>
          <w:lang w:eastAsia="zh-CN"/>
        </w:rPr>
        <w:t>好</w:t>
      </w:r>
      <w:r>
        <w:rPr>
          <w:rFonts w:hint="eastAsia" w:ascii="Times New Roman" w:hAnsi="Times New Roman" w:eastAsia="仿宋_GB2312" w:cs="Times New Roman"/>
          <w:color w:val="auto"/>
          <w:sz w:val="32"/>
          <w:szCs w:val="32"/>
        </w:rPr>
        <w:t>，本次绩效自评结果将作为下年度部门预算安排的重要依据。自评报告经财政</w:t>
      </w:r>
      <w:r>
        <w:rPr>
          <w:rFonts w:hint="eastAsia" w:ascii="Times New Roman" w:hAnsi="Times New Roman" w:eastAsia="仿宋_GB2312" w:cs="Times New Roman"/>
          <w:color w:val="auto"/>
          <w:sz w:val="32"/>
          <w:szCs w:val="32"/>
          <w:lang w:val="en-US" w:eastAsia="zh-CN"/>
        </w:rPr>
        <w:t>部门</w:t>
      </w:r>
      <w:r>
        <w:rPr>
          <w:rFonts w:hint="eastAsia" w:ascii="Times New Roman" w:hAnsi="Times New Roman" w:eastAsia="仿宋_GB2312" w:cs="Times New Roman"/>
          <w:color w:val="auto"/>
          <w:sz w:val="32"/>
          <w:szCs w:val="32"/>
        </w:rPr>
        <w:t>审核后，将按要求通过</w:t>
      </w:r>
      <w:r>
        <w:rPr>
          <w:rFonts w:hint="eastAsia" w:ascii="Times New Roman" w:hAnsi="Times New Roman" w:eastAsia="仿宋_GB2312" w:cs="Times New Roman"/>
          <w:color w:val="auto"/>
          <w:sz w:val="32"/>
          <w:szCs w:val="32"/>
          <w:lang w:val="en-US" w:eastAsia="zh-CN"/>
        </w:rPr>
        <w:t>政府</w:t>
      </w:r>
      <w:r>
        <w:rPr>
          <w:rFonts w:hint="eastAsia" w:ascii="Times New Roman" w:hAnsi="Times New Roman" w:eastAsia="仿宋_GB2312" w:cs="Times New Roman"/>
          <w:color w:val="auto"/>
          <w:sz w:val="32"/>
          <w:szCs w:val="32"/>
        </w:rPr>
        <w:t>官网向社会公开，主动接受社会监督。</w:t>
      </w:r>
    </w:p>
    <w:p w14:paraId="2BD3A642">
      <w:pPr>
        <w:pStyle w:val="12"/>
        <w:jc w:val="center"/>
        <w:rPr>
          <w:rFonts w:ascii="Times New Roman" w:hAnsi="Times New Roman" w:cs="Times New Roman"/>
          <w:sz w:val="72"/>
          <w:szCs w:val="72"/>
        </w:rPr>
      </w:pPr>
    </w:p>
    <w:p w14:paraId="4D352B51">
      <w:pPr>
        <w:pStyle w:val="12"/>
        <w:jc w:val="center"/>
        <w:rPr>
          <w:rFonts w:ascii="Times New Roman" w:hAnsi="Times New Roman" w:cs="Times New Roman"/>
          <w:sz w:val="72"/>
          <w:szCs w:val="72"/>
        </w:rPr>
      </w:pPr>
    </w:p>
    <w:p w14:paraId="4E9ABAFD">
      <w:pPr>
        <w:pStyle w:val="12"/>
        <w:jc w:val="center"/>
        <w:rPr>
          <w:rFonts w:ascii="Times New Roman" w:hAnsi="Times New Roman" w:cs="Times New Roman"/>
          <w:sz w:val="72"/>
          <w:szCs w:val="72"/>
        </w:rPr>
      </w:pPr>
    </w:p>
    <w:p w14:paraId="7D108083">
      <w:pPr>
        <w:pStyle w:val="12"/>
        <w:jc w:val="center"/>
        <w:rPr>
          <w:rFonts w:ascii="Times New Roman" w:hAnsi="Times New Roman" w:cs="Times New Roman"/>
          <w:sz w:val="72"/>
          <w:szCs w:val="72"/>
        </w:rPr>
      </w:pPr>
    </w:p>
    <w:p w14:paraId="268A506C">
      <w:pPr>
        <w:pStyle w:val="12"/>
        <w:jc w:val="center"/>
        <w:rPr>
          <w:rFonts w:ascii="Times New Roman" w:hAnsi="Times New Roman" w:cs="Times New Roman"/>
          <w:sz w:val="72"/>
          <w:szCs w:val="72"/>
        </w:rPr>
      </w:pPr>
    </w:p>
    <w:p w14:paraId="72C2D3F8">
      <w:pPr>
        <w:pStyle w:val="12"/>
        <w:jc w:val="center"/>
        <w:rPr>
          <w:rFonts w:ascii="Times New Roman" w:hAnsi="Times New Roman" w:cs="Times New Roman"/>
          <w:sz w:val="72"/>
          <w:szCs w:val="72"/>
        </w:rPr>
      </w:pPr>
    </w:p>
    <w:p w14:paraId="2E908CDA">
      <w:pPr>
        <w:pStyle w:val="12"/>
        <w:jc w:val="center"/>
        <w:rPr>
          <w:rFonts w:ascii="Times New Roman" w:hAnsi="Times New Roman" w:cs="Times New Roman"/>
          <w:sz w:val="72"/>
          <w:szCs w:val="72"/>
        </w:rPr>
      </w:pPr>
    </w:p>
    <w:p w14:paraId="5B51FC18">
      <w:pPr>
        <w:pStyle w:val="12"/>
        <w:jc w:val="center"/>
        <w:rPr>
          <w:rFonts w:ascii="Times New Roman" w:hAnsi="Times New Roman" w:cs="Times New Roman"/>
          <w:sz w:val="72"/>
          <w:szCs w:val="72"/>
        </w:rPr>
      </w:pPr>
    </w:p>
    <w:p w14:paraId="6C9CF389">
      <w:pPr>
        <w:pStyle w:val="12"/>
        <w:jc w:val="center"/>
        <w:rPr>
          <w:rFonts w:ascii="Times New Roman" w:hAnsi="Times New Roman" w:cs="Times New Roman"/>
          <w:sz w:val="72"/>
          <w:szCs w:val="72"/>
        </w:rPr>
      </w:pPr>
    </w:p>
    <w:p w14:paraId="765CDE22">
      <w:pPr>
        <w:pStyle w:val="12"/>
        <w:jc w:val="center"/>
        <w:rPr>
          <w:rFonts w:ascii="Times New Roman" w:hAnsi="Times New Roman" w:cs="Times New Roman"/>
          <w:sz w:val="72"/>
          <w:szCs w:val="72"/>
        </w:rPr>
      </w:pPr>
    </w:p>
    <w:p w14:paraId="6FA022B3">
      <w:pPr>
        <w:pStyle w:val="12"/>
        <w:jc w:val="center"/>
        <w:rPr>
          <w:rFonts w:ascii="Times New Roman" w:hAnsi="Times New Roman" w:cs="Times New Roman"/>
          <w:sz w:val="72"/>
          <w:szCs w:val="72"/>
        </w:rPr>
      </w:pPr>
    </w:p>
    <w:p w14:paraId="309684F9">
      <w:pPr>
        <w:pStyle w:val="12"/>
        <w:jc w:val="both"/>
        <w:rPr>
          <w:rFonts w:ascii="Times New Roman" w:hAnsi="Times New Roman" w:cs="Times New Roman"/>
          <w:sz w:val="72"/>
          <w:szCs w:val="72"/>
        </w:rPr>
      </w:pPr>
    </w:p>
    <w:p w14:paraId="19DC8635">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3EAA8963">
      <w:pPr>
        <w:widowControl/>
        <w:jc w:val="left"/>
        <w:rPr>
          <w:rFonts w:ascii="Times New Roman" w:hAnsi="Times New Roman" w:cs="Times New Roman"/>
          <w:color w:val="000000"/>
          <w:kern w:val="0"/>
          <w:sz w:val="32"/>
          <w:szCs w:val="32"/>
        </w:rPr>
      </w:pPr>
    </w:p>
    <w:p w14:paraId="239FEFCE">
      <w:pPr>
        <w:pStyle w:val="7"/>
        <w:rPr>
          <w:rFonts w:ascii="Times New Roman" w:hAnsi="Times New Roman" w:cs="Times New Roman"/>
          <w:color w:val="000000"/>
          <w:kern w:val="0"/>
          <w:sz w:val="32"/>
          <w:szCs w:val="32"/>
        </w:rPr>
      </w:pPr>
    </w:p>
    <w:p w14:paraId="188FD08B">
      <w:pPr>
        <w:pStyle w:val="3"/>
        <w:rPr>
          <w:rFonts w:ascii="Times New Roman" w:hAnsi="Times New Roman" w:cs="Times New Roman"/>
          <w:color w:val="000000"/>
          <w:kern w:val="0"/>
          <w:sz w:val="32"/>
          <w:szCs w:val="32"/>
        </w:rPr>
      </w:pPr>
    </w:p>
    <w:p w14:paraId="4C7B1832">
      <w:pPr>
        <w:rPr>
          <w:rFonts w:ascii="Times New Roman" w:hAnsi="Times New Roman" w:cs="Times New Roman"/>
          <w:color w:val="000000"/>
          <w:kern w:val="0"/>
          <w:sz w:val="32"/>
          <w:szCs w:val="32"/>
        </w:rPr>
      </w:pPr>
    </w:p>
    <w:p w14:paraId="79BA0C8C">
      <w:pPr>
        <w:pStyle w:val="7"/>
        <w:rPr>
          <w:rFonts w:ascii="Times New Roman" w:hAnsi="Times New Roman" w:cs="Times New Roman"/>
          <w:color w:val="000000"/>
          <w:kern w:val="0"/>
          <w:sz w:val="32"/>
          <w:szCs w:val="32"/>
        </w:rPr>
      </w:pPr>
    </w:p>
    <w:p w14:paraId="38A8614E">
      <w:pPr>
        <w:pStyle w:val="3"/>
        <w:rPr>
          <w:rFonts w:ascii="Times New Roman" w:hAnsi="Times New Roman" w:cs="Times New Roman"/>
          <w:color w:val="000000"/>
          <w:kern w:val="0"/>
          <w:sz w:val="32"/>
          <w:szCs w:val="32"/>
        </w:rPr>
      </w:pPr>
    </w:p>
    <w:p w14:paraId="494575EB">
      <w:pPr>
        <w:rPr>
          <w:rFonts w:ascii="Times New Roman" w:hAnsi="Times New Roman" w:cs="Times New Roman"/>
          <w:color w:val="000000"/>
          <w:kern w:val="0"/>
          <w:sz w:val="32"/>
          <w:szCs w:val="32"/>
        </w:rPr>
      </w:pPr>
    </w:p>
    <w:p w14:paraId="47C270CC">
      <w:pPr>
        <w:pStyle w:val="7"/>
        <w:rPr>
          <w:rFonts w:ascii="Times New Roman" w:hAnsi="Times New Roman" w:cs="Times New Roman"/>
          <w:color w:val="000000"/>
          <w:kern w:val="0"/>
          <w:sz w:val="32"/>
          <w:szCs w:val="32"/>
        </w:rPr>
      </w:pPr>
    </w:p>
    <w:p w14:paraId="5D509965">
      <w:pPr>
        <w:pStyle w:val="3"/>
        <w:rPr>
          <w:rFonts w:ascii="Times New Roman" w:hAnsi="Times New Roman" w:cs="Times New Roman"/>
          <w:color w:val="000000"/>
          <w:kern w:val="0"/>
          <w:sz w:val="32"/>
          <w:szCs w:val="32"/>
        </w:rPr>
      </w:pPr>
    </w:p>
    <w:p w14:paraId="64F0E095">
      <w:pPr>
        <w:rPr>
          <w:rFonts w:ascii="Times New Roman" w:hAnsi="Times New Roman" w:cs="Times New Roman"/>
          <w:color w:val="000000"/>
          <w:kern w:val="0"/>
          <w:sz w:val="32"/>
          <w:szCs w:val="32"/>
        </w:rPr>
      </w:pPr>
    </w:p>
    <w:p w14:paraId="51A70ABF">
      <w:pPr>
        <w:pStyle w:val="7"/>
        <w:rPr>
          <w:rFonts w:ascii="Times New Roman" w:hAnsi="Times New Roman" w:cs="Times New Roman"/>
          <w:color w:val="000000"/>
          <w:kern w:val="0"/>
          <w:sz w:val="32"/>
          <w:szCs w:val="32"/>
        </w:rPr>
      </w:pPr>
    </w:p>
    <w:p w14:paraId="7F42AE6B">
      <w:pPr>
        <w:pStyle w:val="3"/>
        <w:rPr>
          <w:rFonts w:ascii="Times New Roman" w:hAnsi="Times New Roman" w:cs="Times New Roman"/>
          <w:color w:val="000000"/>
          <w:kern w:val="0"/>
          <w:sz w:val="32"/>
          <w:szCs w:val="32"/>
        </w:rPr>
      </w:pPr>
    </w:p>
    <w:p w14:paraId="28866188">
      <w:pPr>
        <w:rPr>
          <w:rFonts w:ascii="Times New Roman" w:hAnsi="Times New Roman" w:cs="Times New Roman"/>
          <w:color w:val="000000"/>
          <w:kern w:val="0"/>
          <w:sz w:val="32"/>
          <w:szCs w:val="32"/>
        </w:rPr>
      </w:pPr>
    </w:p>
    <w:p w14:paraId="386A9EA5">
      <w:pPr>
        <w:pStyle w:val="3"/>
        <w:ind w:left="0" w:leftChars="0" w:firstLine="0" w:firstLineChars="0"/>
      </w:pPr>
    </w:p>
    <w:p w14:paraId="5CAE70C4">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14:paraId="5AA9F7FA">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14:paraId="60324F91">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14:paraId="73075B2D">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指除上述“财政拨款收入”</w:t>
      </w:r>
      <w:r>
        <w:rPr>
          <w:rFonts w:hint="eastAsia" w:ascii="仿宋" w:hAnsi="仿宋" w:eastAsia="仿宋" w:cs="仿宋"/>
          <w:sz w:val="32"/>
          <w:lang w:eastAsia="zh-CN"/>
        </w:rPr>
        <w:t>、</w:t>
      </w:r>
      <w:r>
        <w:rPr>
          <w:rFonts w:ascii="仿宋" w:hAnsi="仿宋" w:eastAsia="仿宋" w:cs="仿宋"/>
          <w:sz w:val="32"/>
        </w:rPr>
        <w:t xml:space="preserve">“事业收入” </w:t>
      </w:r>
      <w:r>
        <w:rPr>
          <w:rFonts w:hint="eastAsia" w:ascii="仿宋" w:hAnsi="仿宋" w:eastAsia="仿宋" w:cs="仿宋"/>
          <w:sz w:val="32"/>
          <w:lang w:eastAsia="zh-CN"/>
        </w:rPr>
        <w:t>、</w:t>
      </w:r>
      <w:r>
        <w:rPr>
          <w:rFonts w:ascii="仿宋" w:hAnsi="仿宋" w:eastAsia="仿宋" w:cs="仿宋"/>
          <w:sz w:val="32"/>
        </w:rPr>
        <w:t xml:space="preserve">“经营收入”等以外的收入。主要是按规定动用的售房收入、存款利息收入等。 </w:t>
      </w:r>
    </w:p>
    <w:p w14:paraId="02D3AB1F">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759BA1DD">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14:paraId="7EFBB1A1">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14:paraId="50416C58">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14:paraId="71A1729F">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14:paraId="63B7E189">
      <w:pPr>
        <w:jc w:val="left"/>
        <w:rPr>
          <w:rFonts w:ascii="仿宋" w:hAnsi="仿宋" w:eastAsia="仿宋" w:cs="仿宋"/>
          <w:sz w:val="32"/>
        </w:rPr>
      </w:pPr>
      <w:r>
        <w:rPr>
          <w:rFonts w:ascii="仿宋" w:hAnsi="仿宋" w:eastAsia="仿宋" w:cs="仿宋"/>
          <w:sz w:val="32"/>
        </w:rPr>
        <w:t xml:space="preserve">作任务而发生的人员支出和公用支出。 </w:t>
      </w:r>
    </w:p>
    <w:p w14:paraId="00DC8E04">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14:paraId="4BECE7C0">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14:paraId="7C2DB65F">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72DD5B56">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6DE7C30">
      <w:pPr>
        <w:pStyle w:val="12"/>
        <w:jc w:val="center"/>
        <w:rPr>
          <w:rFonts w:ascii="Times New Roman" w:hAnsi="Times New Roman" w:cs="Times New Roman"/>
          <w:sz w:val="72"/>
          <w:szCs w:val="72"/>
        </w:rPr>
      </w:pPr>
    </w:p>
    <w:p w14:paraId="34DC5DC0">
      <w:pPr>
        <w:pStyle w:val="12"/>
        <w:jc w:val="center"/>
        <w:rPr>
          <w:rFonts w:ascii="Times New Roman" w:hAnsi="Times New Roman" w:cs="Times New Roman"/>
          <w:sz w:val="72"/>
          <w:szCs w:val="72"/>
        </w:rPr>
      </w:pPr>
    </w:p>
    <w:p w14:paraId="2F599149">
      <w:pPr>
        <w:pStyle w:val="12"/>
        <w:jc w:val="center"/>
        <w:rPr>
          <w:rFonts w:ascii="Times New Roman" w:hAnsi="Times New Roman" w:cs="Times New Roman"/>
          <w:sz w:val="72"/>
          <w:szCs w:val="72"/>
        </w:rPr>
      </w:pPr>
    </w:p>
    <w:p w14:paraId="53B97B37">
      <w:pPr>
        <w:pStyle w:val="12"/>
        <w:jc w:val="center"/>
        <w:rPr>
          <w:rFonts w:ascii="Times New Roman" w:hAnsi="Times New Roman" w:cs="Times New Roman"/>
          <w:sz w:val="72"/>
          <w:szCs w:val="72"/>
        </w:rPr>
      </w:pPr>
    </w:p>
    <w:p w14:paraId="1AA4B393">
      <w:pPr>
        <w:pStyle w:val="12"/>
        <w:jc w:val="center"/>
        <w:rPr>
          <w:rFonts w:ascii="Times New Roman" w:hAnsi="Times New Roman" w:cs="Times New Roman"/>
          <w:sz w:val="72"/>
          <w:szCs w:val="72"/>
        </w:rPr>
      </w:pPr>
    </w:p>
    <w:p w14:paraId="2D3E4A5C">
      <w:pPr>
        <w:pStyle w:val="12"/>
        <w:jc w:val="center"/>
        <w:rPr>
          <w:rFonts w:ascii="Times New Roman" w:hAnsi="Times New Roman" w:cs="Times New Roman"/>
          <w:sz w:val="72"/>
          <w:szCs w:val="72"/>
        </w:rPr>
      </w:pPr>
    </w:p>
    <w:p w14:paraId="3C363E49">
      <w:pPr>
        <w:pStyle w:val="12"/>
        <w:jc w:val="center"/>
        <w:rPr>
          <w:rFonts w:ascii="Times New Roman" w:hAnsi="Times New Roman" w:cs="Times New Roman"/>
          <w:sz w:val="72"/>
          <w:szCs w:val="72"/>
        </w:rPr>
      </w:pPr>
    </w:p>
    <w:p w14:paraId="5EE0B485">
      <w:pPr>
        <w:pStyle w:val="12"/>
        <w:jc w:val="center"/>
        <w:rPr>
          <w:rFonts w:ascii="Times New Roman" w:hAnsi="Times New Roman" w:cs="Times New Roman"/>
          <w:sz w:val="72"/>
          <w:szCs w:val="72"/>
        </w:rPr>
      </w:pPr>
    </w:p>
    <w:p w14:paraId="52FE268D">
      <w:pPr>
        <w:pStyle w:val="12"/>
        <w:jc w:val="center"/>
        <w:rPr>
          <w:rFonts w:ascii="Times New Roman" w:hAnsi="Times New Roman" w:cs="Times New Roman"/>
          <w:sz w:val="72"/>
          <w:szCs w:val="72"/>
        </w:rPr>
      </w:pPr>
    </w:p>
    <w:p w14:paraId="2084DF24">
      <w:pPr>
        <w:pStyle w:val="12"/>
        <w:jc w:val="center"/>
        <w:rPr>
          <w:rFonts w:ascii="Times New Roman" w:hAnsi="Times New Roman" w:cs="Times New Roman"/>
          <w:sz w:val="72"/>
          <w:szCs w:val="72"/>
        </w:rPr>
      </w:pPr>
    </w:p>
    <w:p w14:paraId="7ACBC443">
      <w:pPr>
        <w:pStyle w:val="12"/>
        <w:jc w:val="center"/>
        <w:rPr>
          <w:rFonts w:ascii="Times New Roman" w:hAnsi="Times New Roman" w:cs="Times New Roman"/>
          <w:sz w:val="72"/>
          <w:szCs w:val="72"/>
        </w:rPr>
      </w:pPr>
    </w:p>
    <w:p w14:paraId="7DE723A0">
      <w:pPr>
        <w:pStyle w:val="12"/>
        <w:jc w:val="center"/>
        <w:rPr>
          <w:rFonts w:ascii="Times New Roman" w:hAnsi="Times New Roman" w:cs="Times New Roman"/>
          <w:sz w:val="72"/>
          <w:szCs w:val="72"/>
        </w:rPr>
      </w:pPr>
    </w:p>
    <w:p w14:paraId="6B26DDC6">
      <w:pPr>
        <w:pStyle w:val="12"/>
        <w:jc w:val="center"/>
        <w:rPr>
          <w:rFonts w:ascii="Times New Roman" w:hAnsi="Times New Roman" w:cs="Times New Roman"/>
          <w:sz w:val="72"/>
          <w:szCs w:val="72"/>
        </w:rPr>
      </w:pPr>
    </w:p>
    <w:p w14:paraId="1904ADF9">
      <w:pPr>
        <w:pStyle w:val="12"/>
        <w:jc w:val="center"/>
        <w:rPr>
          <w:rFonts w:ascii="Times New Roman" w:hAnsi="Times New Roman" w:cs="Times New Roman"/>
          <w:sz w:val="72"/>
          <w:szCs w:val="72"/>
        </w:rPr>
      </w:pPr>
    </w:p>
    <w:p w14:paraId="5265FE85">
      <w:pPr>
        <w:pStyle w:val="12"/>
        <w:jc w:val="center"/>
        <w:rPr>
          <w:rFonts w:ascii="Times New Roman" w:hAnsi="Times New Roman" w:cs="Times New Roman"/>
          <w:sz w:val="72"/>
          <w:szCs w:val="72"/>
        </w:rPr>
      </w:pPr>
    </w:p>
    <w:p w14:paraId="45014675">
      <w:pPr>
        <w:pStyle w:val="12"/>
        <w:jc w:val="center"/>
        <w:rPr>
          <w:rFonts w:ascii="Times New Roman" w:hAnsi="Times New Roman" w:cs="Times New Roman"/>
          <w:sz w:val="72"/>
          <w:szCs w:val="72"/>
        </w:rPr>
      </w:pPr>
    </w:p>
    <w:p w14:paraId="2BE1CF40">
      <w:pPr>
        <w:pStyle w:val="12"/>
        <w:jc w:val="center"/>
        <w:rPr>
          <w:rFonts w:ascii="Times New Roman" w:hAnsi="Times New Roman" w:cs="Times New Roman"/>
          <w:sz w:val="72"/>
          <w:szCs w:val="72"/>
        </w:rPr>
      </w:pPr>
    </w:p>
    <w:p w14:paraId="7A20372E">
      <w:pPr>
        <w:pStyle w:val="12"/>
        <w:jc w:val="center"/>
        <w:rPr>
          <w:rFonts w:ascii="Times New Roman" w:hAnsi="Times New Roman" w:cs="Times New Roman"/>
          <w:sz w:val="72"/>
          <w:szCs w:val="72"/>
        </w:rPr>
      </w:pPr>
    </w:p>
    <w:p w14:paraId="10692155">
      <w:pPr>
        <w:pStyle w:val="12"/>
        <w:jc w:val="center"/>
        <w:rPr>
          <w:rFonts w:ascii="Times New Roman" w:hAnsi="Times New Roman" w:cs="Times New Roman"/>
          <w:sz w:val="72"/>
          <w:szCs w:val="72"/>
        </w:rPr>
      </w:pPr>
    </w:p>
    <w:p w14:paraId="12676BFB">
      <w:pPr>
        <w:pStyle w:val="12"/>
        <w:jc w:val="both"/>
        <w:rPr>
          <w:rFonts w:ascii="Times New Roman" w:hAnsi="Times New Roman" w:cs="Times New Roman"/>
          <w:sz w:val="72"/>
          <w:szCs w:val="72"/>
        </w:rPr>
      </w:pPr>
    </w:p>
    <w:p w14:paraId="419478DC">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34D3C808">
      <w:pPr>
        <w:rPr>
          <w:rFonts w:ascii="Times New Roman" w:hAnsi="Times New Roman" w:cs="Times New Roman"/>
          <w:sz w:val="72"/>
          <w:szCs w:val="72"/>
        </w:rPr>
      </w:pPr>
    </w:p>
    <w:p w14:paraId="139BA982">
      <w:pPr>
        <w:pStyle w:val="12"/>
        <w:spacing w:line="600" w:lineRule="exact"/>
        <w:rPr>
          <w:rFonts w:ascii="Times New Roman" w:hAnsi="Times New Roman" w:eastAsia="仿宋_GB2312" w:cs="Times New Roman"/>
          <w:sz w:val="32"/>
          <w:szCs w:val="32"/>
        </w:rPr>
      </w:pPr>
    </w:p>
    <w:p w14:paraId="5D9C4438">
      <w:pPr>
        <w:pStyle w:val="12"/>
        <w:spacing w:line="600" w:lineRule="exact"/>
        <w:rPr>
          <w:rFonts w:ascii="Times New Roman" w:hAnsi="Times New Roman" w:eastAsia="仿宋_GB2312" w:cs="Times New Roman"/>
          <w:sz w:val="32"/>
          <w:szCs w:val="32"/>
        </w:rPr>
      </w:pPr>
    </w:p>
    <w:p w14:paraId="1143D90A">
      <w:pPr>
        <w:pStyle w:val="12"/>
        <w:spacing w:line="600" w:lineRule="exact"/>
        <w:rPr>
          <w:rFonts w:ascii="Times New Roman" w:hAnsi="Times New Roman" w:eastAsia="仿宋_GB2312" w:cs="Times New Roman"/>
          <w:sz w:val="32"/>
          <w:szCs w:val="32"/>
        </w:rPr>
      </w:pPr>
    </w:p>
    <w:p w14:paraId="4A71ED23">
      <w:pPr>
        <w:pStyle w:val="12"/>
        <w:spacing w:line="600" w:lineRule="exact"/>
        <w:rPr>
          <w:rFonts w:ascii="Times New Roman" w:hAnsi="Times New Roman" w:eastAsia="仿宋_GB2312" w:cs="Times New Roman"/>
          <w:sz w:val="32"/>
          <w:szCs w:val="32"/>
        </w:rPr>
      </w:pPr>
    </w:p>
    <w:p w14:paraId="38310D8C">
      <w:pPr>
        <w:pStyle w:val="12"/>
        <w:spacing w:line="600" w:lineRule="exact"/>
        <w:rPr>
          <w:rFonts w:ascii="Times New Roman" w:hAnsi="Times New Roman" w:eastAsia="仿宋_GB2312" w:cs="Times New Roman"/>
          <w:sz w:val="32"/>
          <w:szCs w:val="32"/>
        </w:rPr>
      </w:pPr>
    </w:p>
    <w:p w14:paraId="3EB677F8">
      <w:pPr>
        <w:pStyle w:val="12"/>
        <w:spacing w:line="600" w:lineRule="exact"/>
        <w:rPr>
          <w:rFonts w:ascii="Times New Roman" w:hAnsi="Times New Roman" w:eastAsia="仿宋_GB2312" w:cs="Times New Roman"/>
          <w:sz w:val="32"/>
          <w:szCs w:val="32"/>
        </w:rPr>
      </w:pPr>
    </w:p>
    <w:p w14:paraId="745A3B53">
      <w:pPr>
        <w:pStyle w:val="12"/>
        <w:spacing w:line="600" w:lineRule="exact"/>
        <w:rPr>
          <w:rFonts w:ascii="Times New Roman" w:hAnsi="Times New Roman" w:eastAsia="仿宋_GB2312" w:cs="Times New Roman"/>
          <w:sz w:val="32"/>
          <w:szCs w:val="32"/>
        </w:rPr>
      </w:pPr>
    </w:p>
    <w:p w14:paraId="438B342C">
      <w:pPr>
        <w:pStyle w:val="12"/>
        <w:spacing w:line="600" w:lineRule="exact"/>
        <w:rPr>
          <w:rFonts w:ascii="Times New Roman" w:hAnsi="Times New Roman" w:eastAsia="仿宋_GB2312" w:cs="Times New Roman"/>
          <w:sz w:val="32"/>
          <w:szCs w:val="32"/>
        </w:rPr>
      </w:pPr>
    </w:p>
    <w:p w14:paraId="32A3A142">
      <w:pPr>
        <w:pStyle w:val="12"/>
        <w:jc w:val="center"/>
        <w:rPr>
          <w:rFonts w:ascii="Times New Roman" w:hAnsi="Times New Roman" w:cs="Times New Roman"/>
          <w:sz w:val="72"/>
          <w:szCs w:val="72"/>
        </w:rPr>
      </w:pPr>
    </w:p>
    <w:p w14:paraId="1DB30651">
      <w:pPr>
        <w:spacing w:line="500" w:lineRule="exact"/>
        <w:rPr>
          <w:rFonts w:ascii="仿宋_GB2312" w:eastAsia="仿宋_GB2312"/>
          <w:sz w:val="32"/>
          <w:szCs w:val="32"/>
        </w:rPr>
      </w:pPr>
    </w:p>
    <w:p w14:paraId="71609547">
      <w:pPr>
        <w:spacing w:line="500" w:lineRule="exact"/>
        <w:jc w:val="center"/>
        <w:rPr>
          <w:rFonts w:hint="eastAsia" w:ascii="方正大标宋简体" w:eastAsia="方正大标宋简体"/>
          <w:sz w:val="44"/>
          <w:szCs w:val="44"/>
          <w:lang w:val="en-US" w:eastAsia="zh-CN"/>
        </w:rPr>
      </w:pPr>
      <w:r>
        <w:rPr>
          <w:rFonts w:hint="eastAsia" w:ascii="方正大标宋简体" w:eastAsia="方正大标宋简体"/>
          <w:sz w:val="44"/>
          <w:szCs w:val="44"/>
          <w:lang w:val="en-US" w:eastAsia="zh-CN"/>
        </w:rPr>
        <w:t>2024年度中共沅江市委党校</w:t>
      </w:r>
    </w:p>
    <w:p w14:paraId="11DBCE60">
      <w:pPr>
        <w:spacing w:line="500" w:lineRule="exact"/>
        <w:jc w:val="center"/>
        <w:rPr>
          <w:rFonts w:hint="eastAsia" w:ascii="方正大标宋简体" w:eastAsia="方正大标宋简体"/>
          <w:sz w:val="44"/>
          <w:szCs w:val="44"/>
        </w:rPr>
      </w:pPr>
      <w:r>
        <w:rPr>
          <w:rFonts w:hint="eastAsia" w:ascii="方正大标宋简体" w:eastAsia="方正大标宋简体"/>
          <w:sz w:val="44"/>
          <w:szCs w:val="44"/>
          <w:lang w:val="en-US" w:eastAsia="zh-CN"/>
        </w:rPr>
        <w:t>整体支出绩效评价报告</w:t>
      </w:r>
    </w:p>
    <w:p w14:paraId="1BE1BEB0">
      <w:pPr>
        <w:spacing w:line="500" w:lineRule="exact"/>
        <w:rPr>
          <w:rFonts w:ascii="仿宋_GB2312" w:eastAsia="仿宋_GB2312"/>
          <w:sz w:val="32"/>
          <w:szCs w:val="32"/>
        </w:rPr>
      </w:pPr>
    </w:p>
    <w:p w14:paraId="50173CB7">
      <w:pPr>
        <w:spacing w:line="500" w:lineRule="exact"/>
        <w:ind w:firstLine="640" w:firstLineChars="200"/>
        <w:rPr>
          <w:rFonts w:hint="eastAsia" w:ascii="黑体" w:eastAsia="黑体"/>
          <w:sz w:val="32"/>
          <w:szCs w:val="32"/>
        </w:rPr>
      </w:pPr>
      <w:r>
        <w:rPr>
          <w:rFonts w:hint="eastAsia" w:ascii="黑体" w:eastAsia="黑体"/>
          <w:sz w:val="32"/>
          <w:szCs w:val="32"/>
        </w:rPr>
        <w:t>一、部门基本情况</w:t>
      </w:r>
    </w:p>
    <w:p w14:paraId="4B3B365B">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(一)部门基本情况及 2024年履职情况:</w:t>
      </w:r>
    </w:p>
    <w:p w14:paraId="2C2A85B6">
      <w:pPr>
        <w:spacing w:line="360" w:lineRule="auto"/>
        <w:ind w:firstLine="640" w:firstLineChars="200"/>
        <w:rPr>
          <w:rFonts w:hint="eastAsia" w:ascii="仿宋" w:eastAsia="仿宋" w:cs="仿宋"/>
          <w:sz w:val="32"/>
          <w:szCs w:val="32"/>
        </w:rPr>
      </w:pPr>
      <w:r>
        <w:rPr>
          <w:rFonts w:hint="eastAsia" w:ascii="仿宋" w:eastAsia="仿宋" w:cs="仿宋"/>
          <w:sz w:val="32"/>
          <w:szCs w:val="32"/>
        </w:rPr>
        <w:t>1.主要职能。</w:t>
      </w:r>
    </w:p>
    <w:p w14:paraId="1D6DAF65">
      <w:pPr>
        <w:spacing w:line="360" w:lineRule="auto"/>
        <w:ind w:firstLine="640" w:firstLineChars="200"/>
        <w:rPr>
          <w:rFonts w:hint="eastAsia" w:ascii="仿宋" w:eastAsia="仿宋" w:cs="仿宋"/>
          <w:sz w:val="32"/>
          <w:szCs w:val="32"/>
        </w:rPr>
      </w:pPr>
      <w:r>
        <w:rPr>
          <w:rFonts w:hint="eastAsia" w:ascii="仿宋" w:eastAsia="仿宋" w:cs="仿宋"/>
          <w:sz w:val="32"/>
          <w:szCs w:val="32"/>
        </w:rPr>
        <w:t>(1)负责干部的培训进修</w:t>
      </w:r>
    </w:p>
    <w:p w14:paraId="6E31780B">
      <w:pPr>
        <w:spacing w:line="360" w:lineRule="auto"/>
        <w:ind w:firstLine="640" w:firstLineChars="200"/>
        <w:rPr>
          <w:rFonts w:hint="eastAsia" w:ascii="仿宋" w:eastAsia="仿宋" w:cs="仿宋"/>
          <w:sz w:val="32"/>
          <w:szCs w:val="32"/>
        </w:rPr>
      </w:pPr>
      <w:r>
        <w:rPr>
          <w:rFonts w:hint="eastAsia" w:ascii="仿宋" w:eastAsia="仿宋" w:cs="仿宋"/>
          <w:sz w:val="32"/>
          <w:szCs w:val="32"/>
        </w:rPr>
        <w:t>(2)承办部门办班</w:t>
      </w:r>
    </w:p>
    <w:p w14:paraId="031B4326">
      <w:pPr>
        <w:spacing w:line="360" w:lineRule="auto"/>
        <w:ind w:firstLine="640" w:firstLineChars="200"/>
        <w:rPr>
          <w:rFonts w:hint="eastAsia" w:ascii="仿宋" w:eastAsia="仿宋" w:cs="仿宋"/>
          <w:sz w:val="32"/>
          <w:szCs w:val="32"/>
        </w:rPr>
      </w:pPr>
      <w:r>
        <w:rPr>
          <w:rFonts w:hint="eastAsia" w:ascii="仿宋" w:eastAsia="仿宋" w:cs="仿宋"/>
          <w:sz w:val="32"/>
          <w:szCs w:val="32"/>
        </w:rPr>
        <w:t>(3)开展马克思主义中国化最新成果的理论宣传，党的路线方针政策宣传</w:t>
      </w:r>
    </w:p>
    <w:p w14:paraId="2A7AAE98">
      <w:pPr>
        <w:spacing w:line="360" w:lineRule="auto"/>
        <w:ind w:firstLine="640" w:firstLineChars="200"/>
        <w:rPr>
          <w:rFonts w:hint="eastAsia" w:ascii="仿宋" w:eastAsia="仿宋" w:cs="仿宋"/>
          <w:sz w:val="32"/>
          <w:szCs w:val="32"/>
        </w:rPr>
      </w:pPr>
      <w:r>
        <w:rPr>
          <w:rFonts w:hint="eastAsia" w:ascii="仿宋" w:eastAsia="仿宋" w:cs="仿宋"/>
          <w:sz w:val="32"/>
          <w:szCs w:val="32"/>
        </w:rPr>
        <w:t>(4)发挥资政、智库作用</w:t>
      </w:r>
    </w:p>
    <w:p w14:paraId="3805556F">
      <w:pPr>
        <w:spacing w:line="360" w:lineRule="auto"/>
        <w:ind w:firstLine="640" w:firstLineChars="200"/>
        <w:rPr>
          <w:rFonts w:hint="eastAsia" w:ascii="仿宋" w:eastAsia="仿宋" w:cs="仿宋"/>
          <w:sz w:val="32"/>
          <w:szCs w:val="32"/>
        </w:rPr>
      </w:pPr>
      <w:r>
        <w:rPr>
          <w:rFonts w:hint="eastAsia" w:ascii="仿宋" w:eastAsia="仿宋" w:cs="仿宋"/>
          <w:sz w:val="32"/>
          <w:szCs w:val="32"/>
        </w:rPr>
        <w:t>2.2024年履职情况</w:t>
      </w:r>
    </w:p>
    <w:p w14:paraId="10458D89">
      <w:pPr>
        <w:spacing w:line="360" w:lineRule="auto"/>
        <w:ind w:firstLine="640" w:firstLineChars="200"/>
        <w:rPr>
          <w:rFonts w:hint="eastAsia" w:ascii="仿宋" w:eastAsia="仿宋" w:cs="仿宋"/>
          <w:sz w:val="32"/>
          <w:szCs w:val="32"/>
          <w:lang w:eastAsia="zh-CN"/>
        </w:rPr>
      </w:pPr>
      <w:r>
        <w:rPr>
          <w:rFonts w:hint="eastAsia" w:ascii="仿宋" w:eastAsia="仿宋" w:cs="仿宋"/>
          <w:sz w:val="32"/>
          <w:szCs w:val="32"/>
        </w:rPr>
        <w:t>圆满完成3期主体班办班工作，承办了相关部门单位专题培训班6期。班子成员带队，全校教师围绕沅江市情分组调研，科研成果“质”“量”双收，全年省市课题结项6个,省市立项8个，在省级以上刊物发文8篇，各类郑文获奖6个,教师完成4篇高质量调研报告,学员优秀调研报告6篇。加强队伍建设，鼓励干部积极参加省市县各级培训和比赛</w:t>
      </w:r>
      <w:r>
        <w:rPr>
          <w:rFonts w:hint="eastAsia" w:ascii="仿宋" w:eastAsia="仿宋" w:cs="仿宋"/>
          <w:sz w:val="32"/>
          <w:szCs w:val="32"/>
          <w:lang w:eastAsia="zh-CN"/>
        </w:rPr>
        <w:t>。</w:t>
      </w:r>
    </w:p>
    <w:p w14:paraId="409D47AB">
      <w:pPr>
        <w:spacing w:line="360" w:lineRule="auto"/>
        <w:ind w:firstLine="640" w:firstLineChars="200"/>
        <w:rPr>
          <w:rFonts w:hint="eastAsia" w:ascii="仿宋" w:eastAsia="仿宋" w:cs="仿宋"/>
          <w:sz w:val="32"/>
          <w:szCs w:val="32"/>
        </w:rPr>
      </w:pPr>
      <w:r>
        <w:rPr>
          <w:rFonts w:hint="eastAsia" w:ascii="仿宋" w:eastAsia="仿宋" w:cs="仿宋"/>
          <w:sz w:val="32"/>
          <w:szCs w:val="32"/>
        </w:rPr>
        <w:t>(二)部门年度整体支出绩效目标，专项资金绩效目标、其他项目支出绩效目标。</w:t>
      </w:r>
    </w:p>
    <w:p w14:paraId="3B27647C">
      <w:pPr>
        <w:spacing w:line="360" w:lineRule="auto"/>
        <w:ind w:firstLine="640" w:firstLineChars="200"/>
        <w:rPr>
          <w:rFonts w:hint="eastAsia" w:ascii="仿宋" w:eastAsia="仿宋" w:cs="仿宋"/>
          <w:sz w:val="32"/>
          <w:szCs w:val="32"/>
        </w:rPr>
      </w:pPr>
      <w:r>
        <w:rPr>
          <w:rFonts w:hint="eastAsia" w:ascii="仿宋" w:eastAsia="仿宋" w:cs="仿宋"/>
          <w:sz w:val="32"/>
          <w:szCs w:val="32"/>
        </w:rPr>
        <w:t>部门整体支出绩效目标是要组织3期主体班的培训，教师完成调研任务人均至少一次的调研任务。科研、科研图书购置及教师调研进修经费项目主要目标完成购置图书计划</w:t>
      </w:r>
      <w:r>
        <w:rPr>
          <w:rFonts w:hint="eastAsia" w:ascii="仿宋" w:eastAsia="仿宋" w:cs="仿宋"/>
          <w:sz w:val="32"/>
          <w:szCs w:val="32"/>
          <w:lang w:eastAsia="zh-CN"/>
        </w:rPr>
        <w:t>，</w:t>
      </w:r>
      <w:r>
        <w:rPr>
          <w:rFonts w:hint="eastAsia" w:ascii="仿宋" w:eastAsia="仿宋" w:cs="仿宋"/>
          <w:sz w:val="32"/>
          <w:szCs w:val="32"/>
          <w:lang w:val="en-US" w:eastAsia="zh-CN"/>
        </w:rPr>
        <w:t>教师发表地级</w:t>
      </w:r>
      <w:r>
        <w:rPr>
          <w:rFonts w:hint="eastAsia" w:ascii="仿宋" w:eastAsia="仿宋" w:cs="仿宋"/>
          <w:sz w:val="32"/>
          <w:szCs w:val="32"/>
        </w:rPr>
        <w:t>以上论文5篇以上，教师社会调研人均1次以上，切实加强教师队伍建设;教学设备购置更新项目主要目标是要及时对教学设备维护及更新，以保障教学过程中的正常教学;物业管理项目主要目标是要负责庭院及时打扫，门卫24小时时刻值守，保证庭院的正常运转;主体班教育经费项目支出主要目标是完成年度主体班培训任务，要提高学员学习主动性和积极性，课堂学习效率的提升。</w:t>
      </w:r>
    </w:p>
    <w:p w14:paraId="59C4A0DC">
      <w:pPr>
        <w:spacing w:line="360" w:lineRule="auto"/>
        <w:ind w:firstLine="640" w:firstLineChars="200"/>
        <w:rPr>
          <w:rFonts w:hint="eastAsia" w:ascii="黑体" w:eastAsia="黑体"/>
          <w:sz w:val="32"/>
          <w:szCs w:val="32"/>
        </w:rPr>
      </w:pPr>
      <w:r>
        <w:rPr>
          <w:rFonts w:hint="eastAsia" w:ascii="黑体" w:eastAsia="黑体"/>
          <w:sz w:val="32"/>
          <w:szCs w:val="32"/>
        </w:rPr>
        <w:t>二、一般公共预算支出情况</w:t>
      </w:r>
    </w:p>
    <w:p w14:paraId="4DB5E1DF">
      <w:pPr>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(一)基本支出情况</w:t>
      </w:r>
    </w:p>
    <w:p w14:paraId="085CA411">
      <w:pPr>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2024年，本部门基本支出完成362.38万元，主要是为保障部门正常运转、完成日常工作任务而发生的各项支出包括用于基本工资、津贴补贴等人员经费以及办公费、印刷费、水电费、办公设备购置等公用经费，</w:t>
      </w:r>
    </w:p>
    <w:p w14:paraId="0E99CA6A">
      <w:pPr>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(二)项目支出情况</w:t>
      </w:r>
    </w:p>
    <w:p w14:paraId="3FB61BBD">
      <w:pPr>
        <w:snapToGrid w:val="0"/>
        <w:spacing w:line="360" w:lineRule="auto"/>
        <w:ind w:firstLine="640" w:firstLineChars="200"/>
        <w:rPr>
          <w:rFonts w:hint="eastAsia" w:ascii="仿宋_GB2312" w:hAnsi="仿宋_GB2312" w:eastAsia="仿宋_GB2312" w:cs="仿宋_GB2312"/>
          <w:kern w:val="2"/>
          <w:sz w:val="32"/>
          <w:szCs w:val="32"/>
        </w:rPr>
      </w:pPr>
      <w:r>
        <w:rPr>
          <w:rFonts w:hint="eastAsia" w:ascii="仿宋_GB2312" w:eastAsia="仿宋_GB2312"/>
          <w:sz w:val="32"/>
          <w:szCs w:val="32"/>
        </w:rPr>
        <w:t>2024年项目支出158.68万元，主要是部门为完成特定行政工作任务或事业发展目标面发生的支出，包括是语法专专心、专项业务费、基本建设支出等。其中:科研、科研图书购置及教师调研进修经费项目支出16万元，教学设备购置更新项目支出4万元，物业管理项目支出4.6万元，主体班教育经费项目支出50.29万元。追加项目支出83.8万元。</w:t>
      </w:r>
    </w:p>
    <w:p w14:paraId="46CB9BC9">
      <w:pPr>
        <w:numPr>
          <w:ilvl w:val="0"/>
          <w:numId w:val="2"/>
        </w:numPr>
        <w:spacing w:line="360" w:lineRule="auto"/>
        <w:ind w:firstLine="640" w:firstLineChars="200"/>
        <w:rPr>
          <w:rFonts w:hint="eastAsia" w:ascii="黑体" w:eastAsia="黑体"/>
          <w:sz w:val="32"/>
          <w:szCs w:val="32"/>
        </w:rPr>
      </w:pPr>
      <w:r>
        <w:rPr>
          <w:rFonts w:hint="eastAsia" w:ascii="黑体" w:eastAsia="黑体"/>
          <w:sz w:val="32"/>
          <w:szCs w:val="32"/>
        </w:rPr>
        <w:t>政府性基金预算支出情况</w:t>
      </w:r>
    </w:p>
    <w:p w14:paraId="1D134476">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政府性基金预算财政拨款收入为83.80万</w:t>
      </w:r>
    </w:p>
    <w:p w14:paraId="527D3B88">
      <w:pPr>
        <w:spacing w:line="360" w:lineRule="auto"/>
        <w:ind w:firstLine="640" w:firstLineChars="200"/>
        <w:rPr>
          <w:rFonts w:hint="eastAsia" w:ascii="黑体" w:eastAsia="黑体"/>
          <w:sz w:val="32"/>
          <w:szCs w:val="32"/>
        </w:rPr>
      </w:pPr>
      <w:r>
        <w:rPr>
          <w:rFonts w:hint="eastAsia" w:ascii="黑体" w:eastAsia="黑体"/>
          <w:sz w:val="32"/>
          <w:szCs w:val="32"/>
        </w:rPr>
        <w:t>四、国有资本经营预算支出情况</w:t>
      </w:r>
    </w:p>
    <w:p w14:paraId="3D0C9BA3">
      <w:pPr>
        <w:spacing w:line="360" w:lineRule="auto"/>
        <w:ind w:firstLine="640" w:firstLineChars="200"/>
        <w:rPr>
          <w:rFonts w:hint="eastAsia" w:ascii="黑体" w:eastAsia="黑体"/>
          <w:sz w:val="32"/>
          <w:szCs w:val="32"/>
          <w:lang w:val="en-US" w:eastAsia="zh-CN"/>
        </w:rPr>
      </w:pPr>
      <w:r>
        <w:rPr>
          <w:rFonts w:hint="eastAsia" w:ascii="黑体" w:eastAsia="黑体"/>
          <w:sz w:val="32"/>
          <w:szCs w:val="32"/>
          <w:lang w:val="en-US" w:eastAsia="zh-CN"/>
        </w:rPr>
        <w:t>无</w:t>
      </w:r>
    </w:p>
    <w:p w14:paraId="10CB6BCD">
      <w:pPr>
        <w:spacing w:line="360" w:lineRule="auto"/>
        <w:ind w:firstLine="640" w:firstLineChars="200"/>
        <w:rPr>
          <w:rFonts w:hint="eastAsia" w:ascii="黑体" w:eastAsia="黑体"/>
          <w:sz w:val="32"/>
          <w:szCs w:val="32"/>
        </w:rPr>
      </w:pPr>
      <w:r>
        <w:rPr>
          <w:rFonts w:hint="eastAsia" w:ascii="黑体" w:eastAsia="黑体"/>
          <w:sz w:val="32"/>
          <w:szCs w:val="32"/>
        </w:rPr>
        <w:t>五、社会保险基金预算支出情况</w:t>
      </w:r>
    </w:p>
    <w:p w14:paraId="6D32A59B">
      <w:pPr>
        <w:spacing w:line="360" w:lineRule="auto"/>
        <w:ind w:firstLine="640" w:firstLineChars="200"/>
        <w:rPr>
          <w:rFonts w:hint="eastAsia" w:ascii="黑体" w:eastAsia="黑体"/>
          <w:sz w:val="32"/>
          <w:szCs w:val="32"/>
        </w:rPr>
      </w:pPr>
      <w:r>
        <w:rPr>
          <w:rFonts w:hint="eastAsia" w:ascii="黑体" w:eastAsia="黑体"/>
          <w:sz w:val="32"/>
          <w:szCs w:val="32"/>
        </w:rPr>
        <w:t>无</w:t>
      </w:r>
    </w:p>
    <w:p w14:paraId="26211594">
      <w:pPr>
        <w:numPr>
          <w:ilvl w:val="0"/>
          <w:numId w:val="0"/>
        </w:numPr>
        <w:spacing w:line="360" w:lineRule="auto"/>
        <w:ind w:firstLine="640" w:firstLineChars="200"/>
        <w:rPr>
          <w:rFonts w:hint="eastAsia" w:ascii="黑体" w:eastAsia="黑体"/>
          <w:sz w:val="32"/>
          <w:szCs w:val="32"/>
        </w:rPr>
      </w:pPr>
      <w:r>
        <w:rPr>
          <w:rFonts w:hint="eastAsia" w:ascii="黑体" w:hAnsi="Times New Roman" w:eastAsia="黑体"/>
          <w:kern w:val="2"/>
          <w:sz w:val="32"/>
          <w:szCs w:val="32"/>
          <w:lang w:val="en-US" w:eastAsia="zh-CN" w:bidi="ar-SA"/>
        </w:rPr>
        <w:t>六、</w:t>
      </w:r>
      <w:r>
        <w:rPr>
          <w:rFonts w:hint="eastAsia" w:ascii="黑体" w:eastAsia="黑体"/>
          <w:sz w:val="32"/>
          <w:szCs w:val="32"/>
        </w:rPr>
        <w:t>部门整体支出绩效情况</w:t>
      </w:r>
    </w:p>
    <w:p w14:paraId="7092DEC4">
      <w:pPr>
        <w:numPr>
          <w:ilvl w:val="0"/>
          <w:numId w:val="0"/>
        </w:numPr>
        <w:spacing w:line="360" w:lineRule="auto"/>
        <w:ind w:firstLine="640" w:firstLineChars="20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(一)部门整体支出绩效自评</w:t>
      </w:r>
    </w:p>
    <w:p w14:paraId="4AFC6370">
      <w:pPr>
        <w:numPr>
          <w:ilvl w:val="0"/>
          <w:numId w:val="0"/>
        </w:numPr>
        <w:spacing w:line="360" w:lineRule="auto"/>
        <w:ind w:firstLine="640" w:firstLineChars="20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我单位财务制度健全，管理规范，账务处理及时，会计核算规范。专项自己严格按照国家规定的项目资金相关法律法规的规定和要求使用，确保专项资金专款专用。一是严格执行项目预、结算制度。二是严格按照既定的项目实施方案，及时完善项目管理制度，认真开展财务决算工作，充分发挥资金的使用效益。</w:t>
      </w:r>
    </w:p>
    <w:p w14:paraId="0F98FD54">
      <w:pPr>
        <w:numPr>
          <w:ilvl w:val="0"/>
          <w:numId w:val="0"/>
        </w:numPr>
        <w:spacing w:line="360" w:lineRule="auto"/>
        <w:ind w:firstLine="640" w:firstLineChars="20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1、加强预算管理，确保收支按预算执行，加强专项资金清理整合。</w:t>
      </w:r>
    </w:p>
    <w:p w14:paraId="25C060E6">
      <w:pPr>
        <w:numPr>
          <w:ilvl w:val="0"/>
          <w:numId w:val="0"/>
        </w:numPr>
        <w:spacing w:line="360" w:lineRule="auto"/>
        <w:ind w:firstLine="640" w:firstLineChars="20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2、充分发挥财政职能，支持党校工作发展。</w:t>
      </w:r>
    </w:p>
    <w:p w14:paraId="45E0A33E">
      <w:pPr>
        <w:numPr>
          <w:ilvl w:val="0"/>
          <w:numId w:val="0"/>
        </w:numPr>
        <w:spacing w:line="360" w:lineRule="auto"/>
        <w:ind w:firstLine="640" w:firstLineChars="20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3、全面实施绩效管理。推进绩效管理与预算管理紧密结合，实行预算编制、执行、监督全过程的绩效管理工作机制;强化预算支出主体责任，着力提升绩效目标质量;切实强化结果应用，将绩效目标审核结果作为年度安排预算的重要依据，切实提高财政资金使用绩效。</w:t>
      </w:r>
    </w:p>
    <w:p w14:paraId="4207F64E">
      <w:pPr>
        <w:numPr>
          <w:ilvl w:val="0"/>
          <w:numId w:val="0"/>
        </w:numPr>
        <w:spacing w:line="360" w:lineRule="auto"/>
        <w:ind w:firstLine="640" w:firstLineChars="20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(二)项目支出绩效自评</w:t>
      </w:r>
    </w:p>
    <w:p w14:paraId="486400F0">
      <w:pPr>
        <w:numPr>
          <w:ilvl w:val="0"/>
          <w:numId w:val="0"/>
        </w:numPr>
        <w:spacing w:line="360" w:lineRule="auto"/>
        <w:ind w:firstLine="640" w:firstLineChars="20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专项资金实行“专人管理、专户储存、专账核算、专项使用”。专项资金实行报账制，资金拨付一律转账结算，杜绝现金支付。资金的拨付本着专款专用的原则，严格执行项目资金批准的使用计划和项目批复内容，不准擅自调项、扩项、缩项，更不准拆借、挪用、挤占和随意扣押;资金拨付动向，按不同专项资金的要求执行，不准任意改变;特殊情况，必须请示。</w:t>
      </w:r>
    </w:p>
    <w:p w14:paraId="0E4EB265">
      <w:pPr>
        <w:numPr>
          <w:ilvl w:val="0"/>
          <w:numId w:val="0"/>
        </w:numPr>
        <w:spacing w:line="360" w:lineRule="auto"/>
        <w:ind w:firstLine="640" w:firstLineChars="20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严格专项资金初审、审核、审核制度，不准缺项和越程序办理手续，各类专项资金审批程序，以该专项资金审批表所列内容迫餡雒漵适文件要求为准。对专项资金要定期或不定期进行督查，确保项目资金专款专用，要全程参与项目验收和采购项目交接。</w:t>
      </w:r>
    </w:p>
    <w:p w14:paraId="3150093C">
      <w:pPr>
        <w:numPr>
          <w:ilvl w:val="0"/>
          <w:numId w:val="0"/>
        </w:numPr>
        <w:spacing w:line="360" w:lineRule="auto"/>
        <w:ind w:left="0" w:leftChars="0" w:firstLine="640" w:firstLineChars="200"/>
        <w:rPr>
          <w:rFonts w:hint="eastAsia" w:ascii="仿宋" w:hAnsi="仿宋" w:eastAsia="仿宋" w:cs="仿宋"/>
          <w:color w:val="333333"/>
          <w:kern w:val="0"/>
          <w:sz w:val="32"/>
          <w:szCs w:val="32"/>
        </w:rPr>
      </w:pPr>
      <w:r>
        <w:rPr>
          <w:rFonts w:hint="eastAsia" w:ascii="黑体" w:eastAsia="黑体" w:cs="Times New Roman"/>
          <w:b/>
          <w:bCs/>
          <w:sz w:val="32"/>
          <w:szCs w:val="32"/>
          <w:lang w:val="en-US" w:eastAsia="zh-CN"/>
        </w:rPr>
        <w:t>七、</w:t>
      </w:r>
      <w:r>
        <w:rPr>
          <w:rFonts w:hint="eastAsia" w:ascii="黑体" w:eastAsia="黑体"/>
          <w:b/>
          <w:bCs/>
          <w:sz w:val="32"/>
          <w:szCs w:val="32"/>
        </w:rPr>
        <w:t>存在的问题及原因分析</w:t>
      </w:r>
    </w:p>
    <w:p w14:paraId="560449A3">
      <w:pPr>
        <w:spacing w:line="360" w:lineRule="auto"/>
        <w:ind w:firstLine="640" w:firstLineChars="20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财政收入规模单一，收入结构不合理，财政管理还不很规范，财经纪律还有待进一步加强。专业技术知识有待提高:管理经验不足。资金使用效益有待进一步提高，绩效目标设立不够明确、细化和量化，实际工作完成效益不高。上级主管部门指导作用发挥不够，各工作部门之间，缺乏有效沟通与配合，统一组织协调工作有待加强</w:t>
      </w:r>
      <w:r>
        <w:rPr>
          <w:rFonts w:hint="eastAsia" w:ascii="仿宋" w:hAnsi="仿宋" w:eastAsia="仿宋" w:cs="仿宋"/>
          <w:color w:val="333333"/>
          <w:kern w:val="0"/>
          <w:sz w:val="32"/>
          <w:szCs w:val="32"/>
          <w:lang w:eastAsia="zh-CN"/>
        </w:rPr>
        <w:t>。</w:t>
      </w:r>
    </w:p>
    <w:p w14:paraId="49A77CB4">
      <w:pPr>
        <w:numPr>
          <w:ilvl w:val="0"/>
          <w:numId w:val="3"/>
        </w:numPr>
        <w:spacing w:line="360" w:lineRule="auto"/>
        <w:ind w:firstLine="640" w:firstLineChars="200"/>
        <w:rPr>
          <w:rFonts w:hint="eastAsia" w:ascii="黑体" w:eastAsia="黑体" w:cs="Times New Roman"/>
          <w:b/>
          <w:bCs/>
          <w:sz w:val="32"/>
          <w:szCs w:val="32"/>
          <w:lang w:val="en-US" w:eastAsia="zh-CN"/>
        </w:rPr>
      </w:pPr>
      <w:r>
        <w:rPr>
          <w:rFonts w:hint="eastAsia" w:ascii="黑体" w:eastAsia="黑体" w:cs="Times New Roman"/>
          <w:b/>
          <w:bCs/>
          <w:sz w:val="32"/>
          <w:szCs w:val="32"/>
          <w:lang w:val="en-US" w:eastAsia="zh-CN"/>
        </w:rPr>
        <w:t>下一步改进措施</w:t>
      </w:r>
    </w:p>
    <w:p w14:paraId="2CC82170">
      <w:pPr>
        <w:numPr>
          <w:ilvl w:val="0"/>
          <w:numId w:val="0"/>
        </w:numPr>
        <w:spacing w:line="360" w:lineRule="auto"/>
        <w:ind w:firstLine="640" w:firstLineChars="20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1、提高认识。加强预算及预算绩效管理理论、政策的宣传学习培训，进一步提高对绩效管理的认识，提升相关业务工作人员的能力水平，增强预算编制、执行的科学性、准确性、严肃性，做好预算绩效管理经验的总结、提升，不断提高预算绩效管理水平。</w:t>
      </w:r>
    </w:p>
    <w:p w14:paraId="62D9CDB0">
      <w:pPr>
        <w:numPr>
          <w:ilvl w:val="0"/>
          <w:numId w:val="0"/>
        </w:numPr>
        <w:spacing w:line="360" w:lineRule="auto"/>
        <w:ind w:firstLine="640" w:firstLineChars="200"/>
        <w:rPr>
          <w:rFonts w:hint="eastAsia" w:ascii="仿宋" w:hAnsi="仿宋" w:eastAsia="仿宋" w:cs="仿宋"/>
          <w:color w:val="333333"/>
          <w:kern w:val="0"/>
          <w:sz w:val="32"/>
          <w:szCs w:val="32"/>
          <w:lang w:eastAsia="zh-CN"/>
        </w:rPr>
      </w:pPr>
      <w:r>
        <w:rPr>
          <w:rFonts w:hint="eastAsia" w:ascii="仿宋" w:hAnsi="仿宋" w:eastAsia="仿宋" w:cs="仿宋"/>
          <w:color w:val="333333"/>
          <w:kern w:val="0"/>
          <w:sz w:val="32"/>
          <w:szCs w:val="32"/>
        </w:rPr>
        <w:t>2、加强制度建设。完善机关现有财务管理制度，加强绩效评价结果应用，推进预算绩效管理实现全过程、全覆盖:用制度管好预算资金的安排、分配和使用，加强项目库管理，尤其是跨年项目的资金安排，抓好各项制度的执行落实，加强预算执行的监督、监控和调剂调整，及时化解预算执行过程中可能出现的问题和风险</w:t>
      </w:r>
      <w:r>
        <w:rPr>
          <w:rFonts w:hint="eastAsia" w:ascii="仿宋" w:hAnsi="仿宋" w:eastAsia="仿宋" w:cs="仿宋"/>
          <w:color w:val="333333"/>
          <w:kern w:val="0"/>
          <w:sz w:val="32"/>
          <w:szCs w:val="32"/>
          <w:lang w:eastAsia="zh-CN"/>
        </w:rPr>
        <w:t>。</w:t>
      </w:r>
    </w:p>
    <w:p w14:paraId="0D81D2AA">
      <w:pPr>
        <w:numPr>
          <w:ilvl w:val="0"/>
          <w:numId w:val="0"/>
        </w:numPr>
        <w:spacing w:line="360" w:lineRule="auto"/>
        <w:ind w:left="0" w:leftChars="0" w:firstLine="640" w:firstLineChars="200"/>
        <w:rPr>
          <w:rFonts w:hint="eastAsia" w:ascii="仿宋" w:hAnsi="仿宋" w:eastAsia="仿宋" w:cs="仿宋"/>
          <w:color w:val="333333"/>
          <w:kern w:val="0"/>
          <w:sz w:val="32"/>
          <w:szCs w:val="32"/>
        </w:rPr>
      </w:pPr>
      <w:r>
        <w:rPr>
          <w:rFonts w:hint="eastAsia" w:ascii="黑体" w:eastAsia="黑体" w:cs="Times New Roman"/>
          <w:b/>
          <w:bCs/>
          <w:sz w:val="32"/>
          <w:szCs w:val="32"/>
          <w:lang w:val="en-US" w:eastAsia="zh-CN"/>
        </w:rPr>
        <w:t>九、绩效自评结果拟应用和公开情况</w:t>
      </w:r>
    </w:p>
    <w:p w14:paraId="76D8E206">
      <w:pPr>
        <w:numPr>
          <w:ilvl w:val="0"/>
          <w:numId w:val="0"/>
        </w:numPr>
        <w:spacing w:line="360" w:lineRule="auto"/>
        <w:ind w:left="0" w:leftChars="0" w:firstLine="640" w:firstLineChars="200"/>
        <w:rPr>
          <w:rFonts w:hint="eastAsia" w:ascii="仿宋" w:hAnsi="仿宋" w:eastAsia="仿宋" w:cs="仿宋"/>
          <w:color w:val="333333"/>
          <w:kern w:val="0"/>
          <w:sz w:val="32"/>
          <w:szCs w:val="32"/>
          <w:lang w:eastAsia="zh-CN"/>
        </w:rPr>
      </w:pPr>
      <w:r>
        <w:rPr>
          <w:rFonts w:hint="eastAsia" w:ascii="仿宋" w:hAnsi="仿宋" w:eastAsia="仿宋" w:cs="仿宋"/>
          <w:color w:val="333333"/>
          <w:kern w:val="0"/>
          <w:sz w:val="32"/>
          <w:szCs w:val="32"/>
        </w:rPr>
        <w:t>专项自己总体评价，项目科学合理，项目管理规范，项目</w:t>
      </w:r>
      <w:r>
        <w:rPr>
          <w:rFonts w:hint="eastAsia" w:ascii="仿宋" w:hAnsi="仿宋" w:eastAsia="仿宋" w:cs="仿宋"/>
          <w:color w:val="333333"/>
          <w:kern w:val="0"/>
          <w:sz w:val="32"/>
          <w:szCs w:val="32"/>
          <w:lang w:val="en-US" w:eastAsia="zh-CN"/>
        </w:rPr>
        <w:t>监督到位</w:t>
      </w:r>
      <w:r>
        <w:rPr>
          <w:rFonts w:hint="eastAsia" w:ascii="仿宋" w:hAnsi="仿宋" w:eastAsia="仿宋" w:cs="仿宋"/>
          <w:color w:val="333333"/>
          <w:kern w:val="0"/>
          <w:sz w:val="32"/>
          <w:szCs w:val="32"/>
        </w:rPr>
        <w:t>，项目完成较好，项目质量较高</w:t>
      </w:r>
      <w:r>
        <w:rPr>
          <w:rFonts w:hint="eastAsia" w:ascii="仿宋" w:hAnsi="仿宋" w:eastAsia="仿宋" w:cs="仿宋"/>
          <w:color w:val="333333"/>
          <w:kern w:val="0"/>
          <w:sz w:val="32"/>
          <w:szCs w:val="32"/>
          <w:lang w:eastAsia="zh-CN"/>
        </w:rPr>
        <w:t>。</w:t>
      </w:r>
    </w:p>
    <w:p w14:paraId="2C883480">
      <w:pPr>
        <w:numPr>
          <w:ilvl w:val="0"/>
          <w:numId w:val="0"/>
        </w:numPr>
        <w:spacing w:line="360" w:lineRule="auto"/>
        <w:ind w:left="0" w:leftChars="0" w:firstLine="640" w:firstLineChars="200"/>
        <w:rPr>
          <w:rFonts w:ascii="Times New Roman" w:hAnsi="Times New Roman" w:cs="Times New Roman"/>
          <w:sz w:val="72"/>
          <w:szCs w:val="72"/>
        </w:rPr>
      </w:pPr>
      <w:r>
        <w:rPr>
          <w:rFonts w:hint="eastAsia" w:ascii="黑体" w:eastAsia="黑体" w:cs="Times New Roman"/>
          <w:b/>
          <w:bCs/>
          <w:sz w:val="32"/>
          <w:szCs w:val="32"/>
          <w:lang w:val="en-US" w:eastAsia="zh-CN"/>
        </w:rPr>
        <w:t>十、其他需要说明的情况</w:t>
      </w:r>
      <w:bookmarkStart w:id="0" w:name="_GoBack"/>
      <w:bookmarkEnd w:id="0"/>
    </w:p>
    <w:p w14:paraId="6B21D517">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大标宋简体">
    <w:altName w:val="微软雅黑"/>
    <w:panose1 w:val="03000509000000000000"/>
    <w:charset w:val="86"/>
    <w:family w:val="script"/>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E4806">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19D2F">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DE908">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B2E98">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11302B">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311302B">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737262"/>
    <w:multiLevelType w:val="singleLevel"/>
    <w:tmpl w:val="F3737262"/>
    <w:lvl w:ilvl="0" w:tentative="0">
      <w:start w:val="1"/>
      <w:numFmt w:val="chineseCounting"/>
      <w:suff w:val="nothing"/>
      <w:lvlText w:val="（%1）"/>
      <w:lvlJc w:val="left"/>
      <w:rPr>
        <w:rFonts w:hint="eastAsia"/>
      </w:rPr>
    </w:lvl>
  </w:abstractNum>
  <w:abstractNum w:abstractNumId="1">
    <w:nsid w:val="00BA0A20"/>
    <w:multiLevelType w:val="singleLevel"/>
    <w:tmpl w:val="00BA0A20"/>
    <w:lvl w:ilvl="0" w:tentative="0">
      <w:start w:val="8"/>
      <w:numFmt w:val="chineseCounting"/>
      <w:suff w:val="nothing"/>
      <w:lvlText w:val="%1、"/>
      <w:lvlJc w:val="left"/>
      <w:rPr>
        <w:rFonts w:hint="eastAsia"/>
      </w:rPr>
    </w:lvl>
  </w:abstractNum>
  <w:abstractNum w:abstractNumId="2">
    <w:nsid w:val="4182BBE3"/>
    <w:multiLevelType w:val="singleLevel"/>
    <w:tmpl w:val="4182BBE3"/>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64D1414"/>
    <w:rsid w:val="173E4421"/>
    <w:rsid w:val="1D97DEFF"/>
    <w:rsid w:val="1DFF72E5"/>
    <w:rsid w:val="1EFC6F07"/>
    <w:rsid w:val="26907874"/>
    <w:rsid w:val="2D2535DF"/>
    <w:rsid w:val="2FDF85B8"/>
    <w:rsid w:val="2FFFEE04"/>
    <w:rsid w:val="34DF85B0"/>
    <w:rsid w:val="359D6D3A"/>
    <w:rsid w:val="3B8F36BC"/>
    <w:rsid w:val="3E44710C"/>
    <w:rsid w:val="3F491C06"/>
    <w:rsid w:val="40723D23"/>
    <w:rsid w:val="48645AFB"/>
    <w:rsid w:val="491FF225"/>
    <w:rsid w:val="4FFD214C"/>
    <w:rsid w:val="549E3CFC"/>
    <w:rsid w:val="55C40C9B"/>
    <w:rsid w:val="5777D4F5"/>
    <w:rsid w:val="59DD8326"/>
    <w:rsid w:val="5CBB2F49"/>
    <w:rsid w:val="5DEF592A"/>
    <w:rsid w:val="5FC6BB1E"/>
    <w:rsid w:val="5FF720F1"/>
    <w:rsid w:val="61C40F61"/>
    <w:rsid w:val="66855163"/>
    <w:rsid w:val="67FF5C0B"/>
    <w:rsid w:val="6EFC0924"/>
    <w:rsid w:val="6FB74722"/>
    <w:rsid w:val="6FEF8B7E"/>
    <w:rsid w:val="71A6591B"/>
    <w:rsid w:val="737D59BA"/>
    <w:rsid w:val="77C37683"/>
    <w:rsid w:val="78174378"/>
    <w:rsid w:val="79D19834"/>
    <w:rsid w:val="79FF515B"/>
    <w:rsid w:val="7CF36E72"/>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5108</Words>
  <Characters>5539</Characters>
  <Lines>69</Lines>
  <Paragraphs>19</Paragraphs>
  <TotalTime>0</TotalTime>
  <ScaleCrop>false</ScaleCrop>
  <LinksUpToDate>false</LinksUpToDate>
  <CharactersWithSpaces>5578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Administrator</cp:lastModifiedBy>
  <cp:lastPrinted>2024-08-08T18:20:00Z</cp:lastPrinted>
  <dcterms:modified xsi:type="dcterms:W3CDTF">2025-10-14T02:20:15Z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eyJoZGlkIjoiY2NhNjZjODM3ODQwODhiYTg5NzAwM2I2MDlkZTBkNDAifQ==</vt:lpwstr>
  </property>
</Properties>
</file>