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84F85">
      <w:pPr>
        <w:pStyle w:val="12"/>
        <w:jc w:val="center"/>
        <w:rPr>
          <w:rFonts w:ascii="Times New Roman" w:hAnsi="Times New Roman" w:cs="Times New Roman"/>
          <w:color w:val="auto"/>
          <w:sz w:val="56"/>
          <w:szCs w:val="56"/>
        </w:rPr>
      </w:pPr>
    </w:p>
    <w:p w14:paraId="11114655">
      <w:pPr>
        <w:pStyle w:val="12"/>
        <w:jc w:val="center"/>
        <w:rPr>
          <w:rFonts w:ascii="Times New Roman" w:hAnsi="Times New Roman" w:cs="Times New Roman"/>
          <w:color w:val="auto"/>
          <w:sz w:val="56"/>
          <w:szCs w:val="56"/>
        </w:rPr>
      </w:pPr>
      <w:bookmarkStart w:id="0" w:name="_GoBack"/>
      <w:bookmarkEnd w:id="0"/>
    </w:p>
    <w:p w14:paraId="6C586A69">
      <w:pPr>
        <w:pStyle w:val="12"/>
        <w:jc w:val="center"/>
        <w:rPr>
          <w:rFonts w:ascii="Times New Roman" w:hAnsi="Times New Roman" w:cs="Times New Roman"/>
          <w:color w:val="auto"/>
          <w:sz w:val="84"/>
          <w:szCs w:val="84"/>
        </w:rPr>
      </w:pPr>
    </w:p>
    <w:p w14:paraId="03906420">
      <w:pPr>
        <w:pStyle w:val="12"/>
        <w:jc w:val="center"/>
        <w:rPr>
          <w:rFonts w:ascii="Times New Roman" w:hAnsi="Times New Roman" w:cs="Times New Roman"/>
          <w:color w:val="auto"/>
          <w:sz w:val="84"/>
          <w:szCs w:val="84"/>
        </w:rPr>
      </w:pPr>
    </w:p>
    <w:p w14:paraId="5DC6E29F">
      <w:pPr>
        <w:pStyle w:val="12"/>
        <w:jc w:val="center"/>
        <w:rPr>
          <w:rFonts w:ascii="Times New Roman" w:hAnsi="Times New Roman" w:eastAsia="方正小标宋简体" w:cs="Times New Roman"/>
          <w:color w:val="auto"/>
          <w:sz w:val="72"/>
          <w:szCs w:val="72"/>
        </w:rPr>
      </w:pPr>
      <w:r>
        <w:rPr>
          <w:rFonts w:ascii="Times New Roman" w:hAnsi="Times New Roman" w:eastAsia="方正小标宋简体" w:cs="Times New Roman"/>
          <w:color w:val="auto"/>
          <w:sz w:val="72"/>
          <w:szCs w:val="72"/>
        </w:rPr>
        <w:t>2024年度</w:t>
      </w:r>
    </w:p>
    <w:p w14:paraId="32821557">
      <w:pPr>
        <w:pStyle w:val="12"/>
        <w:jc w:val="center"/>
        <w:rPr>
          <w:rFonts w:ascii="Times New Roman" w:hAnsi="Times New Roman" w:eastAsia="方正小标宋简体" w:cs="Times New Roman"/>
          <w:color w:val="auto"/>
          <w:sz w:val="72"/>
          <w:szCs w:val="72"/>
        </w:rPr>
      </w:pPr>
      <w:r>
        <w:rPr>
          <w:rFonts w:hint="eastAsia" w:ascii="Times New Roman" w:hAnsi="Times New Roman" w:eastAsia="方正小标宋简体" w:cs="Times New Roman"/>
          <w:color w:val="auto"/>
          <w:sz w:val="72"/>
          <w:szCs w:val="72"/>
          <w:lang w:eastAsia="zh-CN"/>
        </w:rPr>
        <w:t>中共沅江市委网络安全和信息化委员会办公室</w:t>
      </w:r>
      <w:r>
        <w:rPr>
          <w:rFonts w:ascii="Times New Roman" w:hAnsi="Times New Roman" w:eastAsia="方正小标宋简体" w:cs="Times New Roman"/>
          <w:color w:val="auto"/>
          <w:sz w:val="72"/>
          <w:szCs w:val="72"/>
        </w:rPr>
        <w:t>部门决算</w:t>
      </w:r>
    </w:p>
    <w:p w14:paraId="56953643">
      <w:pPr>
        <w:pStyle w:val="12"/>
        <w:jc w:val="center"/>
        <w:rPr>
          <w:rFonts w:ascii="Times New Roman" w:hAnsi="Times New Roman" w:eastAsia="方正小标宋_GBK" w:cs="Times New Roman"/>
          <w:color w:val="auto"/>
          <w:sz w:val="56"/>
          <w:szCs w:val="56"/>
        </w:rPr>
      </w:pPr>
    </w:p>
    <w:p w14:paraId="76820867">
      <w:pPr>
        <w:pStyle w:val="12"/>
        <w:jc w:val="center"/>
        <w:rPr>
          <w:rFonts w:ascii="Times New Roman" w:hAnsi="Times New Roman" w:cs="Times New Roman"/>
          <w:color w:val="auto"/>
          <w:sz w:val="56"/>
          <w:szCs w:val="56"/>
        </w:rPr>
      </w:pPr>
    </w:p>
    <w:p w14:paraId="64C85861">
      <w:pPr>
        <w:pStyle w:val="12"/>
        <w:rPr>
          <w:rFonts w:ascii="Times New Roman" w:hAnsi="Times New Roman" w:cs="Times New Roman"/>
          <w:color w:val="auto"/>
          <w:sz w:val="56"/>
          <w:szCs w:val="56"/>
        </w:rPr>
      </w:pPr>
    </w:p>
    <w:p w14:paraId="4398C637">
      <w:pPr>
        <w:pStyle w:val="12"/>
        <w:jc w:val="center"/>
        <w:rPr>
          <w:rFonts w:ascii="Times New Roman" w:hAnsi="Times New Roman" w:cs="Times New Roman"/>
          <w:color w:val="auto"/>
          <w:sz w:val="32"/>
          <w:szCs w:val="32"/>
        </w:rPr>
      </w:pPr>
    </w:p>
    <w:p w14:paraId="34FA78B8">
      <w:pPr>
        <w:pStyle w:val="12"/>
        <w:jc w:val="center"/>
        <w:rPr>
          <w:rFonts w:ascii="Times New Roman" w:hAnsi="Times New Roman" w:cs="Times New Roman"/>
          <w:color w:val="auto"/>
          <w:sz w:val="32"/>
          <w:szCs w:val="32"/>
        </w:rPr>
      </w:pPr>
    </w:p>
    <w:p w14:paraId="20B7CB6D">
      <w:pPr>
        <w:pStyle w:val="12"/>
        <w:jc w:val="center"/>
        <w:rPr>
          <w:rFonts w:ascii="Times New Roman" w:hAnsi="Times New Roman" w:cs="Times New Roman"/>
          <w:color w:val="auto"/>
          <w:sz w:val="32"/>
          <w:szCs w:val="32"/>
        </w:rPr>
      </w:pPr>
    </w:p>
    <w:p w14:paraId="2CE02485">
      <w:pPr>
        <w:pStyle w:val="12"/>
        <w:jc w:val="center"/>
        <w:rPr>
          <w:rFonts w:ascii="Times New Roman" w:hAnsi="Times New Roman" w:cs="Times New Roman"/>
          <w:color w:val="auto"/>
          <w:sz w:val="32"/>
          <w:szCs w:val="32"/>
        </w:rPr>
      </w:pPr>
    </w:p>
    <w:p w14:paraId="1FCC3C96">
      <w:pPr>
        <w:pStyle w:val="12"/>
        <w:jc w:val="center"/>
        <w:rPr>
          <w:rFonts w:ascii="Times New Roman" w:hAnsi="Times New Roman" w:cs="Times New Roman"/>
          <w:color w:val="auto"/>
          <w:sz w:val="32"/>
          <w:szCs w:val="32"/>
        </w:rPr>
      </w:pPr>
    </w:p>
    <w:p w14:paraId="3105C3B9">
      <w:pPr>
        <w:pStyle w:val="12"/>
        <w:jc w:val="center"/>
        <w:rPr>
          <w:rFonts w:ascii="Times New Roman" w:hAnsi="Times New Roman" w:cs="Times New Roman"/>
          <w:color w:val="auto"/>
          <w:sz w:val="32"/>
          <w:szCs w:val="32"/>
        </w:rPr>
      </w:pPr>
    </w:p>
    <w:p w14:paraId="5DAC0A05">
      <w:pPr>
        <w:pStyle w:val="12"/>
        <w:spacing w:line="540" w:lineRule="exact"/>
        <w:jc w:val="center"/>
        <w:rPr>
          <w:rFonts w:ascii="Times New Roman" w:hAnsi="Times New Roman" w:cs="Times New Roman"/>
          <w:color w:val="auto"/>
          <w:sz w:val="56"/>
          <w:szCs w:val="56"/>
        </w:rPr>
      </w:pPr>
    </w:p>
    <w:p w14:paraId="52DBE7D6">
      <w:pPr>
        <w:rPr>
          <w:rFonts w:ascii="Times New Roman" w:hAnsi="Times New Roman" w:cs="Times New Roman"/>
          <w:b/>
          <w:color w:val="auto"/>
          <w:sz w:val="36"/>
          <w:szCs w:val="28"/>
        </w:rPr>
        <w:sectPr>
          <w:pgSz w:w="11906" w:h="16838"/>
          <w:pgMar w:top="1417" w:right="1588" w:bottom="1417" w:left="1588" w:header="851" w:footer="992" w:gutter="0"/>
          <w:pgNumType w:fmt="numberInDash"/>
          <w:cols w:space="425" w:num="1"/>
          <w:docGrid w:type="lines" w:linePitch="312" w:charSpace="0"/>
        </w:sectPr>
      </w:pPr>
    </w:p>
    <w:p w14:paraId="31A316CF">
      <w:pPr>
        <w:pStyle w:val="12"/>
        <w:spacing w:line="600" w:lineRule="exact"/>
        <w:jc w:val="center"/>
        <w:rPr>
          <w:rFonts w:ascii="Times New Roman" w:hAnsi="Times New Roman" w:cs="Times New Roman"/>
          <w:bCs/>
          <w:color w:val="auto"/>
          <w:sz w:val="36"/>
          <w:szCs w:val="28"/>
        </w:rPr>
      </w:pPr>
      <w:r>
        <w:rPr>
          <w:rFonts w:ascii="Times New Roman" w:hAnsi="Times New Roman" w:cs="Times New Roman"/>
          <w:bCs/>
          <w:color w:val="auto"/>
          <w:sz w:val="36"/>
          <w:szCs w:val="28"/>
        </w:rPr>
        <w:t>目录</w:t>
      </w:r>
    </w:p>
    <w:p w14:paraId="388DF862">
      <w:pPr>
        <w:pStyle w:val="12"/>
        <w:spacing w:line="600" w:lineRule="exact"/>
        <w:jc w:val="center"/>
        <w:rPr>
          <w:rFonts w:ascii="Times New Roman" w:hAnsi="Times New Roman" w:cs="Times New Roman"/>
          <w:b/>
          <w:color w:val="auto"/>
          <w:sz w:val="36"/>
          <w:szCs w:val="28"/>
        </w:rPr>
      </w:pPr>
    </w:p>
    <w:p w14:paraId="7DEFD786">
      <w:pPr>
        <w:pStyle w:val="12"/>
        <w:spacing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第一部分</w:t>
      </w:r>
      <w:r>
        <w:rPr>
          <w:rFonts w:hint="eastAsia" w:ascii="Times New Roman" w:hAnsi="Times New Roman" w:cs="Times New Roman"/>
          <w:bCs/>
          <w:color w:val="auto"/>
          <w:sz w:val="32"/>
          <w:szCs w:val="32"/>
          <w:lang w:eastAsia="zh-CN"/>
        </w:rPr>
        <w:t>中共沅江市委网络安全和信息化委员会办公室</w:t>
      </w:r>
      <w:r>
        <w:rPr>
          <w:rFonts w:ascii="Times New Roman" w:hAnsi="Times New Roman" w:cs="Times New Roman"/>
          <w:bCs/>
          <w:color w:val="auto"/>
          <w:sz w:val="32"/>
          <w:szCs w:val="32"/>
        </w:rPr>
        <w:t>概况</w:t>
      </w:r>
    </w:p>
    <w:p w14:paraId="43269049">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一、部门职责</w:t>
      </w:r>
    </w:p>
    <w:p w14:paraId="6F775323">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二、机构设置及决算单位构成</w:t>
      </w:r>
    </w:p>
    <w:p w14:paraId="293A24B0">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第二部分部门决算表</w:t>
      </w:r>
    </w:p>
    <w:p w14:paraId="2D3DB766">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一、收入支出决算总表</w:t>
      </w:r>
    </w:p>
    <w:p w14:paraId="5CCD0DAA">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二、收入决算表</w:t>
      </w:r>
    </w:p>
    <w:p w14:paraId="2EAADEDD">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三、支出决算表</w:t>
      </w:r>
    </w:p>
    <w:p w14:paraId="0370C204">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四、财政拨款收入支出决算总表</w:t>
      </w:r>
    </w:p>
    <w:p w14:paraId="5F27229D">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五、一般公共预算财政拨款支出决算表</w:t>
      </w:r>
    </w:p>
    <w:p w14:paraId="1AE5E5AB">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六、一般公共预算财政拨款基本支出决算明细表</w:t>
      </w:r>
    </w:p>
    <w:p w14:paraId="65DE7DE6">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七、政府性基金预算财政拨款收入支出决算表</w:t>
      </w:r>
    </w:p>
    <w:p w14:paraId="6DFCF72A">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八、国有资本经营预算财政拨款支出决算表</w:t>
      </w:r>
    </w:p>
    <w:p w14:paraId="59810ACA">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九、财政拨款“三公”经费支出决算表</w:t>
      </w:r>
    </w:p>
    <w:p w14:paraId="38A341B3">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第三部分部门决算情况说明</w:t>
      </w:r>
    </w:p>
    <w:p w14:paraId="78C8DA63">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一、收入支出决算总体情况说明</w:t>
      </w:r>
    </w:p>
    <w:p w14:paraId="030A6DC0">
      <w:pPr>
        <w:spacing w:line="600" w:lineRule="exact"/>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二、收入决算情况说明</w:t>
      </w:r>
    </w:p>
    <w:p w14:paraId="5FB6A911">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三、支出决算情况说明</w:t>
      </w:r>
    </w:p>
    <w:p w14:paraId="3461DA87">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四、财政拨款收入支出决算总体情况说明</w:t>
      </w:r>
    </w:p>
    <w:p w14:paraId="2648A607">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五、一般公共预算财政拨款支出决算情况说明</w:t>
      </w:r>
    </w:p>
    <w:p w14:paraId="69EABE16">
      <w:pPr>
        <w:autoSpaceDE w:val="0"/>
        <w:autoSpaceDN w:val="0"/>
        <w:adjustRightInd w:val="0"/>
        <w:spacing w:line="600" w:lineRule="exact"/>
        <w:jc w:val="left"/>
        <w:rPr>
          <w:rFonts w:ascii="Times New Roman" w:hAnsi="Times New Roman" w:eastAsia="仿宋_GB2312" w:cs="Times New Roman"/>
          <w:color w:val="auto"/>
          <w:kern w:val="0"/>
          <w:sz w:val="32"/>
          <w:szCs w:val="32"/>
        </w:rPr>
        <w:sectPr>
          <w:footerReference r:id="rId3" w:type="default"/>
          <w:pgSz w:w="11906" w:h="16838"/>
          <w:pgMar w:top="1417" w:right="1588" w:bottom="1417" w:left="1588" w:header="851" w:footer="992" w:gutter="0"/>
          <w:pgNumType w:fmt="numberInDash" w:start="1"/>
          <w:cols w:space="425" w:num="1"/>
          <w:docGrid w:type="lines" w:linePitch="312" w:charSpace="0"/>
        </w:sectPr>
      </w:pPr>
    </w:p>
    <w:p w14:paraId="4323C884">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六、一般公共预算财政拨款基本支出决算情况说明</w:t>
      </w:r>
    </w:p>
    <w:p w14:paraId="4A5D8D43">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七、财政拨款“三公”经费支出决算情况说明</w:t>
      </w:r>
    </w:p>
    <w:p w14:paraId="25E629BA">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八、政府性基金预算收入支出决算情况</w:t>
      </w:r>
    </w:p>
    <w:p w14:paraId="3DB3551C">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九、关于机关运行经费支出说明</w:t>
      </w:r>
    </w:p>
    <w:p w14:paraId="3EE16518">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十、一般性支出情况说明</w:t>
      </w:r>
    </w:p>
    <w:p w14:paraId="3F74FC48">
      <w:pPr>
        <w:autoSpaceDE w:val="0"/>
        <w:autoSpaceDN w:val="0"/>
        <w:adjustRightInd w:val="0"/>
        <w:spacing w:line="600" w:lineRule="exact"/>
        <w:jc w:val="left"/>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十一、关于政府采购支出说明</w:t>
      </w:r>
    </w:p>
    <w:p w14:paraId="7246E8A5">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十二、关于国有资产占用情况说明</w:t>
      </w:r>
    </w:p>
    <w:p w14:paraId="59645389">
      <w:pPr>
        <w:pStyle w:val="12"/>
        <w:spacing w:line="600" w:lineRule="exac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十三、关于2024年度预算绩效管理情况的说明</w:t>
      </w:r>
    </w:p>
    <w:p w14:paraId="5F53B97D">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第四部分名词解释</w:t>
      </w:r>
    </w:p>
    <w:p w14:paraId="478318D3">
      <w:pPr>
        <w:pStyle w:val="12"/>
        <w:spacing w:before="156" w:beforeLines="50" w:after="156" w:afterLines="50" w:line="600" w:lineRule="exact"/>
        <w:rPr>
          <w:rFonts w:ascii="Times New Roman" w:hAnsi="Times New Roman" w:cs="Times New Roman"/>
          <w:bCs/>
          <w:color w:val="auto"/>
          <w:sz w:val="32"/>
          <w:szCs w:val="32"/>
        </w:rPr>
      </w:pPr>
      <w:r>
        <w:rPr>
          <w:rFonts w:ascii="Times New Roman" w:hAnsi="Times New Roman" w:cs="Times New Roman"/>
          <w:bCs/>
          <w:color w:val="auto"/>
          <w:sz w:val="32"/>
          <w:szCs w:val="32"/>
        </w:rPr>
        <w:t>第五部分附件</w:t>
      </w:r>
    </w:p>
    <w:p w14:paraId="212C1CE4">
      <w:pPr>
        <w:pStyle w:val="12"/>
        <w:spacing w:line="600" w:lineRule="exact"/>
        <w:rPr>
          <w:rFonts w:ascii="Times New Roman" w:hAnsi="Times New Roman" w:cs="Times New Roman"/>
          <w:bCs/>
          <w:color w:val="auto"/>
          <w:sz w:val="28"/>
          <w:szCs w:val="28"/>
        </w:rPr>
      </w:pPr>
    </w:p>
    <w:p w14:paraId="08200303">
      <w:pPr>
        <w:jc w:val="center"/>
        <w:rPr>
          <w:rFonts w:ascii="Times New Roman" w:hAnsi="Times New Roman" w:cs="Times New Roman"/>
          <w:color w:val="auto"/>
          <w:sz w:val="72"/>
          <w:szCs w:val="72"/>
        </w:rPr>
      </w:pPr>
    </w:p>
    <w:p w14:paraId="457E8225">
      <w:pPr>
        <w:jc w:val="center"/>
        <w:rPr>
          <w:rFonts w:ascii="Times New Roman" w:hAnsi="Times New Roman" w:cs="Times New Roman"/>
          <w:color w:val="auto"/>
          <w:sz w:val="72"/>
          <w:szCs w:val="72"/>
        </w:rPr>
      </w:pPr>
    </w:p>
    <w:p w14:paraId="596FBBCA">
      <w:pPr>
        <w:jc w:val="center"/>
        <w:rPr>
          <w:rFonts w:ascii="Times New Roman" w:hAnsi="Times New Roman" w:cs="Times New Roman"/>
          <w:color w:val="auto"/>
          <w:sz w:val="72"/>
          <w:szCs w:val="72"/>
        </w:rPr>
      </w:pPr>
    </w:p>
    <w:p w14:paraId="1C8544F7">
      <w:pPr>
        <w:pStyle w:val="2"/>
        <w:rPr>
          <w:rFonts w:ascii="Times New Roman" w:hAnsi="Times New Roman" w:cs="Times New Roman"/>
          <w:color w:val="auto"/>
        </w:rPr>
        <w:sectPr>
          <w:footerReference r:id="rId4" w:type="default"/>
          <w:pgSz w:w="11906" w:h="16838"/>
          <w:pgMar w:top="1417" w:right="1588" w:bottom="1417" w:left="1588" w:header="851" w:footer="992" w:gutter="0"/>
          <w:pgNumType w:fmt="numberInDash" w:start="1"/>
          <w:cols w:space="425" w:num="1"/>
          <w:docGrid w:type="lines" w:linePitch="312" w:charSpace="0"/>
        </w:sectPr>
      </w:pPr>
    </w:p>
    <w:p w14:paraId="50DD8149">
      <w:pPr>
        <w:rPr>
          <w:rFonts w:ascii="Times New Roman" w:hAnsi="Times New Roman" w:eastAsia="方正小标宋_GBK" w:cs="Times New Roman"/>
          <w:color w:val="auto"/>
          <w:sz w:val="72"/>
          <w:szCs w:val="72"/>
        </w:rPr>
      </w:pPr>
    </w:p>
    <w:p w14:paraId="3F65950C">
      <w:pPr>
        <w:pStyle w:val="12"/>
        <w:keepNext w:val="0"/>
        <w:keepLines w:val="0"/>
        <w:pageBreakBefore w:val="0"/>
        <w:widowControl w:val="0"/>
        <w:kinsoku/>
        <w:wordWrap/>
        <w:overflowPunct/>
        <w:topLinePunct w:val="0"/>
        <w:autoSpaceDE w:val="0"/>
        <w:autoSpaceDN w:val="0"/>
        <w:bidi w:val="0"/>
        <w:adjustRightInd w:val="0"/>
        <w:snapToGrid/>
        <w:spacing w:line="720" w:lineRule="exact"/>
        <w:jc w:val="center"/>
        <w:textAlignment w:val="auto"/>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第一部分</w:t>
      </w:r>
    </w:p>
    <w:p w14:paraId="6E58BD21">
      <w:pPr>
        <w:pStyle w:val="12"/>
        <w:keepNext w:val="0"/>
        <w:keepLines w:val="0"/>
        <w:pageBreakBefore w:val="0"/>
        <w:widowControl w:val="0"/>
        <w:kinsoku/>
        <w:wordWrap/>
        <w:overflowPunct/>
        <w:topLinePunct w:val="0"/>
        <w:autoSpaceDE w:val="0"/>
        <w:autoSpaceDN w:val="0"/>
        <w:bidi w:val="0"/>
        <w:adjustRightInd w:val="0"/>
        <w:snapToGrid/>
        <w:spacing w:line="720" w:lineRule="exact"/>
        <w:jc w:val="center"/>
        <w:textAlignment w:val="auto"/>
        <w:rPr>
          <w:rFonts w:hint="eastAsia" w:ascii="方正小标宋简体" w:hAnsi="方正小标宋简体" w:eastAsia="方正小标宋简体" w:cs="方正小标宋简体"/>
          <w:color w:val="auto"/>
          <w:sz w:val="52"/>
          <w:szCs w:val="52"/>
          <w:lang w:eastAsia="zh-CN"/>
        </w:rPr>
      </w:pPr>
      <w:r>
        <w:rPr>
          <w:rFonts w:hint="eastAsia" w:ascii="方正小标宋简体" w:hAnsi="方正小标宋简体" w:eastAsia="方正小标宋简体" w:cs="方正小标宋简体"/>
          <w:color w:val="auto"/>
          <w:sz w:val="52"/>
          <w:szCs w:val="52"/>
          <w:lang w:eastAsia="zh-CN"/>
        </w:rPr>
        <w:t>中共沅江市委网络安全和信息化</w:t>
      </w:r>
    </w:p>
    <w:p w14:paraId="6A544174">
      <w:pPr>
        <w:pStyle w:val="12"/>
        <w:keepNext w:val="0"/>
        <w:keepLines w:val="0"/>
        <w:pageBreakBefore w:val="0"/>
        <w:widowControl w:val="0"/>
        <w:kinsoku/>
        <w:wordWrap/>
        <w:overflowPunct/>
        <w:topLinePunct w:val="0"/>
        <w:autoSpaceDE w:val="0"/>
        <w:autoSpaceDN w:val="0"/>
        <w:bidi w:val="0"/>
        <w:adjustRightInd w:val="0"/>
        <w:snapToGrid/>
        <w:spacing w:line="720" w:lineRule="exact"/>
        <w:jc w:val="center"/>
        <w:textAlignment w:val="auto"/>
        <w:rPr>
          <w:rFonts w:ascii="Times New Roman" w:hAnsi="Times New Roman" w:eastAsia="方正小标宋_GBK" w:cs="Times New Roman"/>
          <w:color w:val="auto"/>
          <w:sz w:val="52"/>
          <w:szCs w:val="52"/>
        </w:rPr>
      </w:pPr>
      <w:r>
        <w:rPr>
          <w:rFonts w:hint="eastAsia" w:ascii="方正小标宋简体" w:hAnsi="方正小标宋简体" w:eastAsia="方正小标宋简体" w:cs="方正小标宋简体"/>
          <w:color w:val="auto"/>
          <w:sz w:val="52"/>
          <w:szCs w:val="52"/>
          <w:lang w:eastAsia="zh-CN"/>
        </w:rPr>
        <w:t>委员会办公室</w:t>
      </w:r>
      <w:r>
        <w:rPr>
          <w:rFonts w:hint="eastAsia" w:ascii="方正小标宋简体" w:hAnsi="方正小标宋简体" w:eastAsia="方正小标宋简体" w:cs="方正小标宋简体"/>
          <w:color w:val="auto"/>
          <w:sz w:val="52"/>
          <w:szCs w:val="52"/>
        </w:rPr>
        <w:t>概况</w:t>
      </w:r>
    </w:p>
    <w:p w14:paraId="4CDB64A6">
      <w:pPr>
        <w:pStyle w:val="3"/>
        <w:ind w:left="0" w:leftChars="0" w:firstLine="0" w:firstLineChars="0"/>
        <w:rPr>
          <w:rFonts w:ascii="Times New Roman" w:hAnsi="Times New Roman" w:cs="Times New Roman"/>
          <w:color w:val="auto"/>
        </w:rPr>
      </w:pPr>
    </w:p>
    <w:p w14:paraId="08F5C614">
      <w:pPr>
        <w:pStyle w:val="13"/>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一、</w:t>
      </w:r>
      <w:r>
        <w:rPr>
          <w:rFonts w:ascii="Times New Roman" w:hAnsi="Times New Roman" w:eastAsia="黑体" w:cs="Times New Roman"/>
          <w:color w:val="auto"/>
          <w:sz w:val="32"/>
          <w:szCs w:val="32"/>
        </w:rPr>
        <w:t>部门职责</w:t>
      </w:r>
    </w:p>
    <w:p w14:paraId="59155F94">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内容涉密</w:t>
      </w:r>
    </w:p>
    <w:p w14:paraId="2CB2371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二、机构设置及决算单位构成</w:t>
      </w:r>
    </w:p>
    <w:p w14:paraId="1323B316">
      <w:pPr>
        <w:ind w:firstLine="640" w:firstLineChars="200"/>
        <w:jc w:val="left"/>
        <w:rPr>
          <w:rFonts w:hint="eastAsia" w:ascii="Times New Roman" w:hAnsi="Times New Roman" w:eastAsia="仿宋_GB2312" w:cs="Times New Roman"/>
          <w:bCs/>
          <w:color w:val="auto"/>
          <w:kern w:val="0"/>
          <w:sz w:val="32"/>
          <w:szCs w:val="32"/>
        </w:rPr>
      </w:pPr>
      <w:r>
        <w:rPr>
          <w:rFonts w:hint="eastAsia" w:ascii="Times New Roman" w:hAnsi="Times New Roman" w:eastAsia="仿宋_GB2312" w:cs="Times New Roman"/>
          <w:bCs/>
          <w:color w:val="auto"/>
          <w:kern w:val="0"/>
          <w:sz w:val="32"/>
          <w:szCs w:val="32"/>
        </w:rPr>
        <w:t>（一）内设机构设置。中共沅江市委网络安全和信息化委员会办公室为市委网信委的办事机构，作为市委工作机关，对外加挂市互联网信息办公室牌子，承担市委网信委日常事务工作。市委网信办为正科级行政单位，内设综合股、网络宣传评论股、网络安全与执法股、网络安全应急指挥中心。</w:t>
      </w:r>
    </w:p>
    <w:p w14:paraId="32172470">
      <w:pPr>
        <w:ind w:firstLine="640" w:firstLineChars="200"/>
        <w:jc w:val="left"/>
        <w:rPr>
          <w:rFonts w:ascii="Times New Roman" w:hAnsi="Times New Roman" w:eastAsia="仿宋_GB2312" w:cs="Times New Roman"/>
          <w:color w:val="auto"/>
          <w:sz w:val="28"/>
          <w:szCs w:val="32"/>
        </w:rPr>
      </w:pPr>
      <w:r>
        <w:rPr>
          <w:rFonts w:hint="eastAsia" w:ascii="Times New Roman" w:hAnsi="Times New Roman" w:eastAsia="仿宋_GB2312" w:cs="Times New Roman"/>
          <w:bCs/>
          <w:color w:val="auto"/>
          <w:kern w:val="0"/>
          <w:sz w:val="32"/>
          <w:szCs w:val="32"/>
        </w:rPr>
        <w:t>（二）决算单位构成。中共沅江市委网络安全和信息化委员会办公室202</w:t>
      </w:r>
      <w:r>
        <w:rPr>
          <w:rFonts w:hint="eastAsia" w:ascii="Times New Roman" w:hAnsi="Times New Roman" w:eastAsia="仿宋_GB2312" w:cs="Times New Roman"/>
          <w:bCs/>
          <w:color w:val="auto"/>
          <w:kern w:val="0"/>
          <w:sz w:val="32"/>
          <w:szCs w:val="32"/>
          <w:lang w:val="en-US" w:eastAsia="zh-CN"/>
        </w:rPr>
        <w:t>4</w:t>
      </w:r>
      <w:r>
        <w:rPr>
          <w:rFonts w:hint="eastAsia" w:ascii="Times New Roman" w:hAnsi="Times New Roman" w:eastAsia="仿宋_GB2312" w:cs="Times New Roman"/>
          <w:bCs/>
          <w:color w:val="auto"/>
          <w:kern w:val="0"/>
          <w:sz w:val="32"/>
          <w:szCs w:val="32"/>
        </w:rPr>
        <w:t>年部门决算汇总公开单位构成包括：只有中共沅江市委网络安全和信息化委员会办公室本级。</w:t>
      </w:r>
    </w:p>
    <w:p w14:paraId="3E7189CE">
      <w:pPr>
        <w:jc w:val="center"/>
        <w:rPr>
          <w:rFonts w:ascii="Times New Roman" w:hAnsi="Times New Roman" w:eastAsia="黑体" w:cs="Times New Roman"/>
          <w:color w:val="auto"/>
          <w:sz w:val="28"/>
          <w:szCs w:val="28"/>
        </w:rPr>
      </w:pPr>
    </w:p>
    <w:p w14:paraId="2480709E">
      <w:pPr>
        <w:jc w:val="center"/>
        <w:rPr>
          <w:rFonts w:ascii="Times New Roman" w:hAnsi="Times New Roman" w:eastAsia="黑体" w:cs="Times New Roman"/>
          <w:color w:val="auto"/>
          <w:sz w:val="28"/>
          <w:szCs w:val="28"/>
        </w:rPr>
      </w:pPr>
    </w:p>
    <w:p w14:paraId="3DC3DCCD">
      <w:pPr>
        <w:jc w:val="center"/>
        <w:rPr>
          <w:rFonts w:ascii="Times New Roman" w:hAnsi="Times New Roman" w:eastAsia="黑体" w:cs="Times New Roman"/>
          <w:color w:val="auto"/>
          <w:sz w:val="28"/>
          <w:szCs w:val="28"/>
        </w:rPr>
      </w:pPr>
    </w:p>
    <w:p w14:paraId="03885521">
      <w:pPr>
        <w:jc w:val="center"/>
        <w:rPr>
          <w:rFonts w:ascii="Times New Roman" w:hAnsi="Times New Roman" w:eastAsia="黑体" w:cs="Times New Roman"/>
          <w:color w:val="auto"/>
          <w:sz w:val="28"/>
          <w:szCs w:val="28"/>
        </w:rPr>
      </w:pPr>
    </w:p>
    <w:p w14:paraId="21AD770D">
      <w:pPr>
        <w:jc w:val="center"/>
        <w:rPr>
          <w:rFonts w:ascii="Times New Roman" w:hAnsi="Times New Roman" w:eastAsia="黑体" w:cs="Times New Roman"/>
          <w:color w:val="auto"/>
          <w:sz w:val="28"/>
          <w:szCs w:val="28"/>
        </w:rPr>
      </w:pPr>
    </w:p>
    <w:p w14:paraId="24797E85">
      <w:pPr>
        <w:pStyle w:val="2"/>
        <w:rPr>
          <w:rFonts w:ascii="Times New Roman" w:hAnsi="Times New Roman" w:cs="Times New Roman"/>
          <w:color w:val="auto"/>
        </w:rPr>
        <w:sectPr>
          <w:footerReference r:id="rId5" w:type="default"/>
          <w:pgSz w:w="11906" w:h="16838"/>
          <w:pgMar w:top="1417" w:right="1588" w:bottom="1417" w:left="1588" w:header="851" w:footer="992" w:gutter="0"/>
          <w:pgNumType w:fmt="numberInDash" w:start="1"/>
          <w:cols w:space="425" w:num="1"/>
          <w:docGrid w:type="lines" w:linePitch="312" w:charSpace="0"/>
        </w:sectPr>
      </w:pPr>
    </w:p>
    <w:p w14:paraId="25859247">
      <w:pPr>
        <w:pStyle w:val="12"/>
        <w:jc w:val="center"/>
        <w:rPr>
          <w:rFonts w:ascii="Times New Roman" w:hAnsi="Times New Roman" w:eastAsia="方正小标宋_GBK" w:cs="Times New Roman"/>
          <w:color w:val="auto"/>
          <w:sz w:val="52"/>
          <w:szCs w:val="52"/>
        </w:rPr>
      </w:pPr>
    </w:p>
    <w:p w14:paraId="53E2CF00">
      <w:pPr>
        <w:pStyle w:val="12"/>
        <w:jc w:val="center"/>
        <w:rPr>
          <w:rFonts w:ascii="Times New Roman" w:hAnsi="Times New Roman" w:eastAsia="方正小标宋_GBK" w:cs="Times New Roman"/>
          <w:color w:val="auto"/>
          <w:sz w:val="52"/>
          <w:szCs w:val="52"/>
        </w:rPr>
      </w:pPr>
    </w:p>
    <w:p w14:paraId="7366936C">
      <w:pPr>
        <w:pStyle w:val="12"/>
        <w:jc w:val="center"/>
        <w:rPr>
          <w:rFonts w:ascii="Times New Roman" w:hAnsi="Times New Roman" w:eastAsia="方正小标宋_GBK" w:cs="Times New Roman"/>
          <w:color w:val="auto"/>
          <w:sz w:val="52"/>
          <w:szCs w:val="52"/>
        </w:rPr>
      </w:pPr>
    </w:p>
    <w:p w14:paraId="137C6961">
      <w:pPr>
        <w:pStyle w:val="12"/>
        <w:jc w:val="center"/>
        <w:rPr>
          <w:rFonts w:ascii="Times New Roman" w:hAnsi="Times New Roman" w:eastAsia="方正小标宋_GBK" w:cs="Times New Roman"/>
          <w:color w:val="auto"/>
          <w:sz w:val="52"/>
          <w:szCs w:val="52"/>
        </w:rPr>
      </w:pPr>
    </w:p>
    <w:p w14:paraId="3BD85AE0">
      <w:pPr>
        <w:pStyle w:val="12"/>
        <w:jc w:val="center"/>
        <w:rPr>
          <w:rFonts w:ascii="Times New Roman" w:hAnsi="Times New Roman" w:eastAsia="方正小标宋_GBK" w:cs="Times New Roman"/>
          <w:color w:val="auto"/>
          <w:sz w:val="52"/>
          <w:szCs w:val="52"/>
        </w:rPr>
      </w:pPr>
    </w:p>
    <w:p w14:paraId="571E00B8">
      <w:pPr>
        <w:pStyle w:val="12"/>
        <w:jc w:val="center"/>
        <w:rPr>
          <w:rFonts w:ascii="Times New Roman" w:hAnsi="Times New Roman" w:eastAsia="方正小标宋_GBK" w:cs="Times New Roman"/>
          <w:color w:val="auto"/>
          <w:sz w:val="52"/>
          <w:szCs w:val="52"/>
        </w:rPr>
      </w:pPr>
    </w:p>
    <w:p w14:paraId="491B8B16">
      <w:pPr>
        <w:pStyle w:val="12"/>
        <w:jc w:val="center"/>
        <w:rPr>
          <w:rFonts w:ascii="Times New Roman" w:hAnsi="Times New Roman" w:eastAsia="方正小标宋_GBK" w:cs="Times New Roman"/>
          <w:color w:val="auto"/>
          <w:sz w:val="52"/>
          <w:szCs w:val="52"/>
        </w:rPr>
      </w:pPr>
    </w:p>
    <w:p w14:paraId="4F2C1DF8">
      <w:pPr>
        <w:pStyle w:val="12"/>
        <w:jc w:val="center"/>
        <w:rPr>
          <w:rFonts w:ascii="Times New Roman" w:hAnsi="Times New Roman" w:eastAsia="方正小标宋_GBK" w:cs="Times New Roman"/>
          <w:color w:val="auto"/>
          <w:sz w:val="52"/>
          <w:szCs w:val="52"/>
        </w:rPr>
      </w:pPr>
    </w:p>
    <w:p w14:paraId="5C08C9D1">
      <w:pPr>
        <w:pStyle w:val="12"/>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第二部分部门决算表</w:t>
      </w:r>
      <w:r>
        <w:rPr>
          <w:rFonts w:hint="eastAsia" w:ascii="Times New Roman" w:hAnsi="Times New Roman" w:eastAsia="方正小标宋_GBK" w:cs="Times New Roman"/>
          <w:color w:val="auto"/>
          <w:sz w:val="52"/>
          <w:szCs w:val="52"/>
          <w:lang w:eastAsia="zh-CN"/>
        </w:rPr>
        <w:t>（</w:t>
      </w:r>
      <w:r>
        <w:rPr>
          <w:rFonts w:hint="eastAsia" w:ascii="Times New Roman" w:hAnsi="Times New Roman" w:eastAsia="方正小标宋_GBK" w:cs="Times New Roman"/>
          <w:color w:val="auto"/>
          <w:sz w:val="52"/>
          <w:szCs w:val="52"/>
          <w:lang w:val="en-US" w:eastAsia="zh-CN"/>
        </w:rPr>
        <w:t>见附表</w:t>
      </w:r>
      <w:r>
        <w:rPr>
          <w:rFonts w:hint="eastAsia" w:ascii="Times New Roman" w:hAnsi="Times New Roman" w:eastAsia="方正小标宋_GBK" w:cs="Times New Roman"/>
          <w:color w:val="auto"/>
          <w:sz w:val="52"/>
          <w:szCs w:val="52"/>
          <w:lang w:eastAsia="zh-CN"/>
        </w:rPr>
        <w:t>）</w:t>
      </w:r>
    </w:p>
    <w:p w14:paraId="68985B9E">
      <w:pPr>
        <w:autoSpaceDE w:val="0"/>
        <w:autoSpaceDN w:val="0"/>
        <w:adjustRightInd w:val="0"/>
        <w:ind w:left="315" w:leftChars="150"/>
        <w:jc w:val="left"/>
        <w:rPr>
          <w:rFonts w:ascii="Times New Roman" w:hAnsi="Times New Roman" w:eastAsia="宋体" w:cs="Times New Roman"/>
          <w:color w:val="auto"/>
          <w:kern w:val="0"/>
          <w:sz w:val="24"/>
          <w:szCs w:val="24"/>
        </w:rPr>
      </w:pPr>
    </w:p>
    <w:p w14:paraId="2A6BF78C">
      <w:pPr>
        <w:autoSpaceDE w:val="0"/>
        <w:autoSpaceDN w:val="0"/>
        <w:adjustRightInd w:val="0"/>
        <w:ind w:left="315" w:leftChars="150"/>
        <w:jc w:val="left"/>
        <w:rPr>
          <w:rFonts w:ascii="Times New Roman" w:hAnsi="Times New Roman" w:eastAsia="宋体" w:cs="Times New Roman"/>
          <w:color w:val="auto"/>
          <w:kern w:val="0"/>
          <w:sz w:val="24"/>
          <w:szCs w:val="24"/>
        </w:rPr>
      </w:pPr>
    </w:p>
    <w:p w14:paraId="22DCADDC">
      <w:pPr>
        <w:autoSpaceDE w:val="0"/>
        <w:autoSpaceDN w:val="0"/>
        <w:adjustRightInd w:val="0"/>
        <w:ind w:left="315" w:leftChars="150"/>
        <w:jc w:val="left"/>
        <w:rPr>
          <w:rFonts w:ascii="Times New Roman" w:hAnsi="Times New Roman" w:eastAsia="宋体" w:cs="Times New Roman"/>
          <w:color w:val="auto"/>
          <w:kern w:val="0"/>
          <w:sz w:val="24"/>
          <w:szCs w:val="24"/>
        </w:rPr>
      </w:pPr>
    </w:p>
    <w:p w14:paraId="7730D913">
      <w:pPr>
        <w:widowControl/>
        <w:rPr>
          <w:rFonts w:ascii="Times New Roman" w:hAnsi="Times New Roman" w:cs="Times New Roman"/>
          <w:color w:val="auto"/>
          <w:sz w:val="72"/>
          <w:szCs w:val="72"/>
        </w:rPr>
        <w:sectPr>
          <w:pgSz w:w="11906" w:h="16838"/>
          <w:pgMar w:top="1417" w:right="1134" w:bottom="1417" w:left="1134" w:header="851" w:footer="992" w:gutter="0"/>
          <w:pgNumType w:fmt="numberInDash"/>
          <w:cols w:space="425" w:num="1"/>
          <w:docGrid w:type="lines" w:linePitch="312" w:charSpace="0"/>
        </w:sectPr>
      </w:pPr>
      <w:r>
        <w:rPr>
          <w:rFonts w:ascii="Times New Roman" w:hAnsi="Times New Roman" w:eastAsia="黑体" w:cs="Times New Roman"/>
          <w:color w:val="auto"/>
          <w:szCs w:val="21"/>
        </w:rPr>
        <w:br w:type="page"/>
      </w:r>
    </w:p>
    <w:p w14:paraId="3EFE2077">
      <w:pPr>
        <w:pStyle w:val="12"/>
        <w:rPr>
          <w:rFonts w:ascii="Times New Roman" w:hAnsi="Times New Roman" w:cs="Times New Roman"/>
          <w:color w:val="auto"/>
          <w:sz w:val="72"/>
          <w:szCs w:val="72"/>
        </w:rPr>
      </w:pPr>
    </w:p>
    <w:p w14:paraId="3DB83B23">
      <w:pPr>
        <w:pStyle w:val="12"/>
        <w:rPr>
          <w:rFonts w:ascii="Times New Roman" w:hAnsi="Times New Roman" w:cs="Times New Roman"/>
          <w:color w:val="auto"/>
          <w:sz w:val="72"/>
          <w:szCs w:val="72"/>
        </w:rPr>
      </w:pPr>
    </w:p>
    <w:p w14:paraId="711E266D">
      <w:pPr>
        <w:pStyle w:val="12"/>
        <w:rPr>
          <w:rFonts w:ascii="Times New Roman" w:hAnsi="Times New Roman" w:cs="Times New Roman"/>
          <w:color w:val="auto"/>
          <w:sz w:val="72"/>
          <w:szCs w:val="72"/>
        </w:rPr>
      </w:pPr>
    </w:p>
    <w:p w14:paraId="1678024D">
      <w:pPr>
        <w:pStyle w:val="12"/>
        <w:jc w:val="center"/>
        <w:rPr>
          <w:rFonts w:ascii="Times New Roman" w:hAnsi="Times New Roman" w:cs="Times New Roman"/>
          <w:color w:val="auto"/>
          <w:sz w:val="72"/>
          <w:szCs w:val="72"/>
        </w:rPr>
      </w:pPr>
    </w:p>
    <w:p w14:paraId="26DBB977">
      <w:pPr>
        <w:pStyle w:val="12"/>
        <w:jc w:val="center"/>
        <w:rPr>
          <w:rFonts w:ascii="Times New Roman" w:hAnsi="Times New Roman" w:eastAsia="方正小标宋_GBK" w:cs="Times New Roman"/>
          <w:color w:val="auto"/>
          <w:sz w:val="72"/>
          <w:szCs w:val="72"/>
        </w:rPr>
      </w:pPr>
    </w:p>
    <w:p w14:paraId="402440C3">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第三部分</w:t>
      </w:r>
    </w:p>
    <w:p w14:paraId="57D6D712">
      <w:pPr>
        <w:pStyle w:val="12"/>
        <w:spacing w:line="360" w:lineRule="auto"/>
        <w:jc w:val="center"/>
        <w:rPr>
          <w:rFonts w:ascii="Times New Roman" w:hAnsi="Times New Roman" w:eastAsia="方正小标宋_GBK" w:cs="Times New Roman"/>
          <w:color w:val="auto"/>
          <w:sz w:val="52"/>
          <w:szCs w:val="52"/>
        </w:rPr>
      </w:pPr>
      <w:r>
        <w:rPr>
          <w:rFonts w:ascii="Times New Roman" w:hAnsi="Times New Roman" w:eastAsia="方正小标宋_GBK" w:cs="Times New Roman"/>
          <w:color w:val="auto"/>
          <w:sz w:val="52"/>
          <w:szCs w:val="52"/>
        </w:rPr>
        <w:t>2024年度部门决算情况说明</w:t>
      </w:r>
    </w:p>
    <w:p w14:paraId="35E13666">
      <w:pPr>
        <w:widowControl/>
        <w:jc w:val="left"/>
        <w:rPr>
          <w:rFonts w:ascii="Times New Roman" w:hAnsi="Times New Roman" w:cs="Times New Roman"/>
          <w:color w:val="auto"/>
          <w:sz w:val="32"/>
          <w:szCs w:val="32"/>
        </w:rPr>
      </w:pPr>
      <w:r>
        <w:rPr>
          <w:rFonts w:ascii="Times New Roman" w:hAnsi="Times New Roman" w:eastAsia="方正小标宋_GBK" w:cs="Times New Roman"/>
          <w:color w:val="auto"/>
          <w:sz w:val="70"/>
          <w:szCs w:val="70"/>
        </w:rPr>
        <w:br w:type="page"/>
      </w:r>
    </w:p>
    <w:p w14:paraId="66D8C3B9">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一、收入支出决算总体情况说明</w:t>
      </w:r>
    </w:p>
    <w:p w14:paraId="6B7894D7">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2024年度收、支总计</w:t>
      </w:r>
      <w:r>
        <w:rPr>
          <w:rFonts w:hint="eastAsia" w:ascii="Times New Roman" w:hAnsi="Times New Roman" w:eastAsia="仿宋_GB2312" w:cs="Times New Roman"/>
          <w:color w:val="auto"/>
          <w:sz w:val="32"/>
          <w:szCs w:val="32"/>
          <w:lang w:val="en-US" w:eastAsia="zh-CN"/>
        </w:rPr>
        <w:t>171.09</w:t>
      </w:r>
      <w:r>
        <w:rPr>
          <w:rFonts w:ascii="Times New Roman" w:hAnsi="Times New Roman" w:eastAsia="仿宋_GB2312" w:cs="Times New Roman"/>
          <w:color w:val="auto"/>
          <w:sz w:val="32"/>
          <w:szCs w:val="32"/>
        </w:rPr>
        <w:t>万元。与上年相比，增加（减少）</w:t>
      </w:r>
      <w:r>
        <w:rPr>
          <w:rFonts w:hint="eastAsia" w:ascii="Times New Roman" w:hAnsi="Times New Roman" w:eastAsia="仿宋_GB2312" w:cs="Times New Roman"/>
          <w:color w:val="auto"/>
          <w:sz w:val="32"/>
          <w:szCs w:val="32"/>
          <w:lang w:val="en-US" w:eastAsia="zh-CN"/>
        </w:rPr>
        <w:t>10.16</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6.3</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val="en-US" w:eastAsia="zh-CN"/>
        </w:rPr>
        <w:t>事业人员增加1人。</w:t>
      </w:r>
    </w:p>
    <w:p w14:paraId="2993FD93">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二、收入决算情况说明</w:t>
      </w:r>
    </w:p>
    <w:p w14:paraId="1320D51F">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2024年度收入合计</w:t>
      </w:r>
      <w:r>
        <w:rPr>
          <w:rFonts w:hint="eastAsia" w:ascii="Times New Roman" w:hAnsi="Times New Roman" w:eastAsia="仿宋_GB2312" w:cs="Times New Roman"/>
          <w:color w:val="auto"/>
          <w:sz w:val="32"/>
          <w:szCs w:val="32"/>
          <w:lang w:val="en-US" w:eastAsia="zh-CN"/>
        </w:rPr>
        <w:t>171.09</w:t>
      </w:r>
      <w:r>
        <w:rPr>
          <w:rFonts w:ascii="Times New Roman" w:hAnsi="Times New Roman" w:eastAsia="仿宋_GB2312" w:cs="Times New Roman"/>
          <w:color w:val="auto"/>
          <w:sz w:val="32"/>
          <w:szCs w:val="32"/>
        </w:rPr>
        <w:t>万元，其中：财政拨款收入</w:t>
      </w:r>
      <w:r>
        <w:rPr>
          <w:rFonts w:hint="eastAsia" w:ascii="Times New Roman" w:hAnsi="Times New Roman" w:eastAsia="仿宋_GB2312" w:cs="Times New Roman"/>
          <w:color w:val="auto"/>
          <w:sz w:val="32"/>
          <w:szCs w:val="32"/>
          <w:lang w:val="en-US" w:eastAsia="zh-CN"/>
        </w:rPr>
        <w:t>168.09</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98.25</w:t>
      </w:r>
      <w:r>
        <w:rPr>
          <w:rFonts w:ascii="Times New Roman" w:hAnsi="Times New Roman" w:eastAsia="仿宋_GB2312" w:cs="Times New Roman"/>
          <w:color w:val="auto"/>
          <w:sz w:val="32"/>
          <w:szCs w:val="32"/>
        </w:rPr>
        <w:t>%；上级补助收入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%；经营收入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%；附属单位上缴收入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%；其他收入</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1.75</w:t>
      </w:r>
      <w:r>
        <w:rPr>
          <w:rFonts w:ascii="Times New Roman" w:hAnsi="Times New Roman" w:eastAsia="仿宋_GB2312" w:cs="Times New Roman"/>
          <w:color w:val="auto"/>
          <w:sz w:val="32"/>
          <w:szCs w:val="32"/>
        </w:rPr>
        <w:t>%。</w:t>
      </w:r>
    </w:p>
    <w:p w14:paraId="1B4DC7F8">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三、支出决算情况说明</w:t>
      </w:r>
    </w:p>
    <w:p w14:paraId="64D9030C">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2024年度支出合计</w:t>
      </w:r>
      <w:r>
        <w:rPr>
          <w:rFonts w:hint="eastAsia" w:ascii="Times New Roman" w:hAnsi="Times New Roman" w:eastAsia="仿宋_GB2312" w:cs="Times New Roman"/>
          <w:color w:val="auto"/>
          <w:sz w:val="32"/>
          <w:szCs w:val="32"/>
          <w:lang w:val="en-US" w:eastAsia="zh-CN"/>
        </w:rPr>
        <w:t>171.09</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97.95</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57.25</w:t>
      </w:r>
      <w:r>
        <w:rPr>
          <w:rFonts w:ascii="Times New Roman" w:hAnsi="Times New Roman" w:eastAsia="仿宋_GB2312" w:cs="Times New Roman"/>
          <w:color w:val="auto"/>
          <w:sz w:val="32"/>
          <w:szCs w:val="32"/>
        </w:rPr>
        <w:t>%；项目支出</w:t>
      </w:r>
      <w:r>
        <w:rPr>
          <w:rFonts w:hint="eastAsia" w:ascii="Times New Roman" w:hAnsi="Times New Roman" w:eastAsia="仿宋_GB2312" w:cs="Times New Roman"/>
          <w:color w:val="auto"/>
          <w:sz w:val="32"/>
          <w:szCs w:val="32"/>
          <w:lang w:val="en-US" w:eastAsia="zh-CN"/>
        </w:rPr>
        <w:t>73.13</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42.75</w:t>
      </w:r>
      <w:r>
        <w:rPr>
          <w:rFonts w:ascii="Times New Roman" w:hAnsi="Times New Roman" w:eastAsia="仿宋_GB2312" w:cs="Times New Roman"/>
          <w:color w:val="auto"/>
          <w:sz w:val="32"/>
          <w:szCs w:val="32"/>
        </w:rPr>
        <w:t>%；上缴上级支出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%；经营支出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%；对附属单位补助支出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3CD274B5">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四、财政拨款收入支出决算总体情况说明</w:t>
      </w:r>
    </w:p>
    <w:p w14:paraId="7F11C068">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2024年度财政拨款收、支总计</w:t>
      </w:r>
      <w:r>
        <w:rPr>
          <w:rFonts w:hint="eastAsia" w:ascii="Times New Roman" w:hAnsi="Times New Roman" w:eastAsia="仿宋_GB2312" w:cs="Times New Roman"/>
          <w:color w:val="auto"/>
          <w:sz w:val="32"/>
          <w:szCs w:val="32"/>
          <w:lang w:val="en-US" w:eastAsia="zh-CN"/>
        </w:rPr>
        <w:t>168.09</w:t>
      </w:r>
      <w:r>
        <w:rPr>
          <w:rFonts w:ascii="Times New Roman" w:hAnsi="Times New Roman" w:eastAsia="仿宋_GB2312" w:cs="Times New Roman"/>
          <w:color w:val="auto"/>
          <w:sz w:val="32"/>
          <w:szCs w:val="32"/>
        </w:rPr>
        <w:t>万元，与上年相比，增加</w:t>
      </w:r>
      <w:r>
        <w:rPr>
          <w:rFonts w:hint="eastAsia" w:ascii="Times New Roman" w:hAnsi="Times New Roman" w:eastAsia="仿宋_GB2312" w:cs="Times New Roman"/>
          <w:color w:val="auto"/>
          <w:sz w:val="32"/>
          <w:szCs w:val="32"/>
          <w:lang w:val="en-US" w:eastAsia="zh-CN"/>
        </w:rPr>
        <w:t>17.11</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增长</w:t>
      </w:r>
      <w:r>
        <w:rPr>
          <w:rFonts w:hint="eastAsia" w:ascii="Times New Roman" w:hAnsi="Times New Roman" w:eastAsia="仿宋_GB2312" w:cs="Times New Roman"/>
          <w:color w:val="auto"/>
          <w:sz w:val="32"/>
          <w:szCs w:val="32"/>
          <w:lang w:val="en-US" w:eastAsia="zh-CN"/>
        </w:rPr>
        <w:t>11.33</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val="en-US" w:eastAsia="zh-CN"/>
        </w:rPr>
        <w:t>事业人员增加1人。</w:t>
      </w:r>
    </w:p>
    <w:p w14:paraId="5C8F892A">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五、一般公共预算财政拨款支出决算情况说明</w:t>
      </w:r>
    </w:p>
    <w:p w14:paraId="7861CA71">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（一）一般公共预算财政拨款支出决算总体情况</w:t>
      </w:r>
    </w:p>
    <w:p w14:paraId="71118192">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lang w:val="en-US" w:eastAsia="zh-CN"/>
        </w:rPr>
        <w:t>168.09</w:t>
      </w:r>
      <w:r>
        <w:rPr>
          <w:rFonts w:ascii="Times New Roman" w:hAnsi="Times New Roman" w:eastAsia="仿宋_GB2312" w:cs="Times New Roman"/>
          <w:color w:val="auto"/>
          <w:sz w:val="32"/>
          <w:szCs w:val="32"/>
        </w:rPr>
        <w:t>万元，占本年支出合计的</w:t>
      </w:r>
      <w:r>
        <w:rPr>
          <w:rFonts w:hint="eastAsia" w:ascii="Times New Roman" w:hAnsi="Times New Roman" w:eastAsia="仿宋_GB2312" w:cs="Times New Roman"/>
          <w:color w:val="auto"/>
          <w:sz w:val="32"/>
          <w:szCs w:val="32"/>
          <w:lang w:val="en-US" w:eastAsia="zh-CN"/>
        </w:rPr>
        <w:t>98.25</w:t>
      </w:r>
      <w:r>
        <w:rPr>
          <w:rFonts w:ascii="Times New Roman" w:hAnsi="Times New Roman" w:eastAsia="仿宋_GB2312" w:cs="Times New Roman"/>
          <w:color w:val="auto"/>
          <w:sz w:val="32"/>
          <w:szCs w:val="32"/>
        </w:rPr>
        <w:t>%，与上年相比，财政拨款支出增加</w:t>
      </w:r>
      <w:r>
        <w:rPr>
          <w:rFonts w:hint="eastAsia" w:ascii="Times New Roman" w:hAnsi="Times New Roman" w:eastAsia="仿宋_GB2312" w:cs="Times New Roman"/>
          <w:color w:val="auto"/>
          <w:sz w:val="32"/>
          <w:szCs w:val="32"/>
          <w:lang w:val="en-US" w:eastAsia="zh-CN"/>
        </w:rPr>
        <w:t>17.11</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11.33</w:t>
      </w:r>
      <w:r>
        <w:rPr>
          <w:rFonts w:ascii="Times New Roman" w:hAnsi="Times New Roman" w:eastAsia="仿宋_GB2312" w:cs="Times New Roman"/>
          <w:color w:val="auto"/>
          <w:sz w:val="32"/>
          <w:szCs w:val="32"/>
        </w:rPr>
        <w:t>%%，主要是因为</w:t>
      </w:r>
      <w:r>
        <w:rPr>
          <w:rFonts w:hint="eastAsia" w:ascii="Times New Roman" w:hAnsi="Times New Roman" w:eastAsia="仿宋_GB2312" w:cs="Times New Roman"/>
          <w:color w:val="auto"/>
          <w:sz w:val="32"/>
          <w:szCs w:val="32"/>
          <w:lang w:val="en-US" w:eastAsia="zh-CN"/>
        </w:rPr>
        <w:t>事业人员增加1人。</w:t>
      </w:r>
    </w:p>
    <w:p w14:paraId="6154818D">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（二）一般公共预算财政拨款支出决算结构情况</w:t>
      </w:r>
    </w:p>
    <w:p w14:paraId="746E3D2D">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w:t>
      </w:r>
      <w:r>
        <w:rPr>
          <w:rFonts w:hint="eastAsia" w:ascii="Times New Roman" w:hAnsi="Times New Roman" w:eastAsia="仿宋_GB2312" w:cs="Times New Roman"/>
          <w:color w:val="auto"/>
          <w:sz w:val="32"/>
          <w:szCs w:val="32"/>
          <w:lang w:val="en-US" w:eastAsia="zh-CN"/>
        </w:rPr>
        <w:t>168.09</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rPr>
        <w:t>主要用于以下方面：一般公共服务支出</w:t>
      </w:r>
      <w:r>
        <w:rPr>
          <w:rFonts w:hint="eastAsia" w:ascii="Times New Roman" w:hAnsi="Times New Roman" w:eastAsia="仿宋_GB2312" w:cs="Times New Roman"/>
          <w:color w:val="auto"/>
          <w:sz w:val="32"/>
          <w:szCs w:val="32"/>
          <w:lang w:val="en-US" w:eastAsia="zh-CN"/>
        </w:rPr>
        <w:t>142.75</w:t>
      </w:r>
      <w:r>
        <w:rPr>
          <w:rFonts w:hint="eastAsia"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84.92</w:t>
      </w:r>
      <w:r>
        <w:rPr>
          <w:rFonts w:hint="eastAsia" w:ascii="Times New Roman" w:hAnsi="Times New Roman" w:eastAsia="仿宋_GB2312" w:cs="Times New Roman"/>
          <w:color w:val="auto"/>
          <w:sz w:val="32"/>
          <w:szCs w:val="32"/>
        </w:rPr>
        <w:t>%；公共安全支出</w:t>
      </w:r>
      <w:r>
        <w:rPr>
          <w:rFonts w:hint="eastAsia" w:ascii="Times New Roman" w:hAnsi="Times New Roman"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5.95</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科学技术支出0.1</w:t>
      </w:r>
      <w:r>
        <w:rPr>
          <w:rFonts w:hint="eastAsia"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0.06</w:t>
      </w:r>
      <w:r>
        <w:rPr>
          <w:rFonts w:hint="eastAsia" w:ascii="Times New Roman" w:hAnsi="Times New Roman" w:eastAsia="仿宋_GB2312" w:cs="Times New Roman"/>
          <w:color w:val="auto"/>
          <w:sz w:val="32"/>
          <w:szCs w:val="32"/>
        </w:rPr>
        <w:t>%；文化旅游体育与传媒支出</w:t>
      </w:r>
      <w:r>
        <w:rPr>
          <w:rFonts w:hint="eastAsia" w:ascii="Times New Roman" w:hAnsi="Times New Roman" w:eastAsia="仿宋_GB2312" w:cs="Times New Roman"/>
          <w:color w:val="auto"/>
          <w:sz w:val="32"/>
          <w:szCs w:val="32"/>
          <w:lang w:val="en-US" w:eastAsia="zh-CN"/>
        </w:rPr>
        <w:t>10</w:t>
      </w:r>
      <w:r>
        <w:rPr>
          <w:rFonts w:hint="eastAsia"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5.95</w:t>
      </w:r>
      <w:r>
        <w:rPr>
          <w:rFonts w:hint="eastAsia" w:ascii="Times New Roman" w:hAnsi="Times New Roman" w:eastAsia="仿宋_GB2312" w:cs="Times New Roman"/>
          <w:color w:val="auto"/>
          <w:sz w:val="32"/>
          <w:szCs w:val="32"/>
        </w:rPr>
        <w:t>%；住房保障支出</w:t>
      </w:r>
      <w:r>
        <w:rPr>
          <w:rFonts w:hint="eastAsia" w:ascii="Times New Roman" w:hAnsi="Times New Roman" w:eastAsia="仿宋_GB2312" w:cs="Times New Roman"/>
          <w:color w:val="auto"/>
          <w:sz w:val="32"/>
          <w:szCs w:val="32"/>
          <w:lang w:val="en-US" w:eastAsia="zh-CN"/>
        </w:rPr>
        <w:t>5.24</w:t>
      </w:r>
      <w:r>
        <w:rPr>
          <w:rFonts w:hint="eastAsia" w:ascii="Times New Roman" w:hAnsi="Times New Roman" w:eastAsia="仿宋_GB2312" w:cs="Times New Roman"/>
          <w:color w:val="auto"/>
          <w:sz w:val="32"/>
          <w:szCs w:val="32"/>
        </w:rPr>
        <w:t>万元，占</w:t>
      </w:r>
      <w:r>
        <w:rPr>
          <w:rFonts w:hint="eastAsia" w:ascii="Times New Roman" w:hAnsi="Times New Roman" w:eastAsia="仿宋_GB2312" w:cs="Times New Roman"/>
          <w:color w:val="auto"/>
          <w:sz w:val="32"/>
          <w:szCs w:val="32"/>
          <w:lang w:val="en-US" w:eastAsia="zh-CN"/>
        </w:rPr>
        <w:t>3.12</w:t>
      </w:r>
      <w:r>
        <w:rPr>
          <w:rFonts w:hint="eastAsia" w:ascii="Times New Roman" w:hAnsi="Times New Roman" w:eastAsia="仿宋_GB2312" w:cs="Times New Roman"/>
          <w:color w:val="auto"/>
          <w:sz w:val="32"/>
          <w:szCs w:val="32"/>
        </w:rPr>
        <w:t>%。</w:t>
      </w:r>
    </w:p>
    <w:p w14:paraId="5EB0FA61">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（三）一般公共预算财政拨款支出决算具体情况</w:t>
      </w:r>
    </w:p>
    <w:p w14:paraId="55205124">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2024年度财政拨款支出年初预算数为</w:t>
      </w:r>
      <w:r>
        <w:rPr>
          <w:rFonts w:hint="eastAsia" w:ascii="Times New Roman" w:hAnsi="Times New Roman" w:eastAsia="仿宋_GB2312" w:cs="Times New Roman"/>
          <w:color w:val="auto"/>
          <w:sz w:val="32"/>
          <w:szCs w:val="32"/>
          <w:lang w:val="en-US" w:eastAsia="zh-CN"/>
        </w:rPr>
        <w:t>109.04</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lang w:val="en-US" w:eastAsia="zh-CN"/>
        </w:rPr>
        <w:t>168.09</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154.15</w:t>
      </w:r>
      <w:r>
        <w:rPr>
          <w:rFonts w:ascii="Times New Roman" w:hAnsi="Times New Roman" w:eastAsia="仿宋_GB2312" w:cs="Times New Roman"/>
          <w:color w:val="auto"/>
          <w:sz w:val="32"/>
          <w:szCs w:val="32"/>
        </w:rPr>
        <w:t>%，其中：</w:t>
      </w:r>
    </w:p>
    <w:p w14:paraId="659522F1">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1、一般公共服务</w:t>
      </w:r>
      <w:r>
        <w:rPr>
          <w:rFonts w:hint="eastAsia" w:ascii="Times New Roman" w:hAnsi="Times New Roman" w:eastAsia="仿宋_GB2312" w:cs="Times New Roman"/>
          <w:color w:val="auto"/>
          <w:sz w:val="32"/>
          <w:szCs w:val="32"/>
          <w:lang w:val="en-US" w:eastAsia="zh-CN"/>
        </w:rPr>
        <w:t>支出</w:t>
      </w:r>
      <w:r>
        <w:rPr>
          <w:rFonts w:ascii="Times New Roman" w:hAnsi="Times New Roman" w:eastAsia="仿宋_GB2312" w:cs="Times New Roman"/>
          <w:color w:val="auto"/>
          <w:sz w:val="32"/>
          <w:szCs w:val="32"/>
        </w:rPr>
        <w:t>。</w:t>
      </w:r>
    </w:p>
    <w:p w14:paraId="104F396C">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103.8</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142.75</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137.52</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预算调整。</w:t>
      </w:r>
    </w:p>
    <w:p w14:paraId="0721CB00">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w:t>
      </w:r>
      <w:r>
        <w:rPr>
          <w:rFonts w:hint="eastAsia" w:ascii="Times New Roman" w:hAnsi="Times New Roman" w:eastAsia="仿宋_GB2312" w:cs="Times New Roman"/>
          <w:color w:val="auto"/>
          <w:sz w:val="32"/>
          <w:szCs w:val="32"/>
        </w:rPr>
        <w:t>公共安全支出</w:t>
      </w:r>
      <w:r>
        <w:rPr>
          <w:rFonts w:ascii="Times New Roman" w:hAnsi="Times New Roman" w:eastAsia="仿宋_GB2312" w:cs="Times New Roman"/>
          <w:color w:val="auto"/>
          <w:sz w:val="32"/>
          <w:szCs w:val="32"/>
        </w:rPr>
        <w:t>。</w:t>
      </w:r>
    </w:p>
    <w:p w14:paraId="45B244B0">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10</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新增特设专户资金</w:t>
      </w:r>
      <w:r>
        <w:rPr>
          <w:rFonts w:hint="eastAsia" w:ascii="Times New Roman" w:hAnsi="Times New Roman" w:eastAsia="仿宋_GB2312" w:cs="Times New Roman"/>
          <w:color w:val="auto"/>
          <w:sz w:val="32"/>
          <w:szCs w:val="32"/>
          <w:lang w:eastAsia="zh-CN"/>
        </w:rPr>
        <w:t>。</w:t>
      </w:r>
    </w:p>
    <w:p w14:paraId="15B21B86">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3.科学技术支出。</w:t>
      </w:r>
    </w:p>
    <w:p w14:paraId="14349C9B">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0.1</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优秀个人奖金</w:t>
      </w:r>
      <w:r>
        <w:rPr>
          <w:rFonts w:hint="eastAsia" w:ascii="Times New Roman" w:hAnsi="Times New Roman" w:eastAsia="仿宋_GB2312" w:cs="Times New Roman"/>
          <w:color w:val="auto"/>
          <w:sz w:val="32"/>
          <w:szCs w:val="32"/>
          <w:lang w:eastAsia="zh-CN"/>
        </w:rPr>
        <w:t>。</w:t>
      </w:r>
    </w:p>
    <w:p w14:paraId="248D78E3">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4.文化旅游体育与传媒支出。</w:t>
      </w:r>
    </w:p>
    <w:p w14:paraId="2D9A8C22">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10</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新增特设专户资金</w:t>
      </w:r>
      <w:r>
        <w:rPr>
          <w:rFonts w:hint="eastAsia" w:ascii="Times New Roman" w:hAnsi="Times New Roman" w:eastAsia="仿宋_GB2312" w:cs="Times New Roman"/>
          <w:color w:val="auto"/>
          <w:sz w:val="32"/>
          <w:szCs w:val="32"/>
          <w:lang w:eastAsia="zh-CN"/>
        </w:rPr>
        <w:t>。</w:t>
      </w:r>
    </w:p>
    <w:p w14:paraId="607D4251">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5.住房保障支出。</w:t>
      </w:r>
    </w:p>
    <w:p w14:paraId="7E928383">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年初预算为</w:t>
      </w:r>
      <w:r>
        <w:rPr>
          <w:rFonts w:hint="eastAsia" w:ascii="Times New Roman" w:hAnsi="Times New Roman" w:eastAsia="仿宋_GB2312" w:cs="Times New Roman"/>
          <w:color w:val="auto"/>
          <w:sz w:val="32"/>
          <w:szCs w:val="32"/>
          <w:lang w:val="en-US" w:eastAsia="zh-CN"/>
        </w:rPr>
        <w:t>5.24</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5.24</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val="en-US" w:eastAsia="zh-CN"/>
        </w:rPr>
        <w:t>与</w:t>
      </w:r>
      <w:r>
        <w:rPr>
          <w:rFonts w:ascii="Times New Roman" w:hAnsi="Times New Roman" w:eastAsia="仿宋_GB2312" w:cs="Times New Roman"/>
          <w:color w:val="auto"/>
          <w:sz w:val="32"/>
          <w:szCs w:val="32"/>
        </w:rPr>
        <w:t>年初预算数</w:t>
      </w:r>
      <w:r>
        <w:rPr>
          <w:rFonts w:hint="eastAsia" w:ascii="Times New Roman" w:hAnsi="Times New Roman" w:eastAsia="仿宋_GB2312" w:cs="Times New Roman"/>
          <w:color w:val="auto"/>
          <w:sz w:val="32"/>
          <w:szCs w:val="32"/>
          <w:lang w:val="en-US" w:eastAsia="zh-CN"/>
        </w:rPr>
        <w:t>持平</w:t>
      </w:r>
      <w:r>
        <w:rPr>
          <w:rFonts w:hint="eastAsia" w:ascii="Times New Roman" w:hAnsi="Times New Roman" w:eastAsia="仿宋_GB2312" w:cs="Times New Roman"/>
          <w:color w:val="auto"/>
          <w:sz w:val="32"/>
          <w:szCs w:val="32"/>
          <w:lang w:eastAsia="zh-CN"/>
        </w:rPr>
        <w:t>。</w:t>
      </w:r>
    </w:p>
    <w:p w14:paraId="1CB5F7EC">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六、一般公共预算财政拨款基本支出决算情况说明</w:t>
      </w:r>
    </w:p>
    <w:p w14:paraId="224B3DB5">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2024年度一般公共预算财政拨款基本支出</w:t>
      </w:r>
      <w:r>
        <w:rPr>
          <w:rFonts w:hint="eastAsia" w:ascii="Times New Roman" w:hAnsi="Times New Roman" w:eastAsia="仿宋_GB2312" w:cs="Times New Roman"/>
          <w:color w:val="auto"/>
          <w:sz w:val="32"/>
          <w:szCs w:val="32"/>
          <w:lang w:val="en-US" w:eastAsia="zh-CN"/>
        </w:rPr>
        <w:t>96.45</w:t>
      </w:r>
      <w:r>
        <w:rPr>
          <w:rFonts w:ascii="Times New Roman" w:hAnsi="Times New Roman" w:eastAsia="仿宋_GB2312" w:cs="Times New Roman"/>
          <w:color w:val="auto"/>
          <w:sz w:val="32"/>
          <w:szCs w:val="32"/>
        </w:rPr>
        <w:t>万元，其中：</w:t>
      </w:r>
    </w:p>
    <w:p w14:paraId="3A1F5EB1">
      <w:pPr>
        <w:pStyle w:val="12"/>
        <w:overflowPunct w:val="0"/>
        <w:autoSpaceDE/>
        <w:autoSpaceDN/>
        <w:spacing w:line="600" w:lineRule="exact"/>
        <w:ind w:firstLine="640" w:firstLineChars="200"/>
        <w:jc w:val="both"/>
        <w:rPr>
          <w:rFonts w:hint="eastAsia" w:ascii="Times New Roman" w:hAnsi="Times New Roman" w:eastAsia="仿宋_GB2312"/>
          <w:color w:val="auto"/>
          <w:sz w:val="32"/>
          <w:szCs w:val="32"/>
          <w:lang w:eastAsia="zh-CN"/>
        </w:rPr>
      </w:pPr>
      <w:r>
        <w:rPr>
          <w:rFonts w:ascii="Times New Roman" w:hAnsi="Times New Roman" w:eastAsia="仿宋_GB2312" w:cs="Times New Roman"/>
          <w:b/>
          <w:bCs/>
          <w:color w:val="auto"/>
          <w:sz w:val="32"/>
          <w:szCs w:val="32"/>
        </w:rPr>
        <w:t>人员经费</w:t>
      </w:r>
      <w:r>
        <w:rPr>
          <w:rFonts w:hint="eastAsia" w:ascii="Times New Roman" w:hAnsi="Times New Roman" w:eastAsia="仿宋_GB2312" w:cs="Times New Roman"/>
          <w:color w:val="auto"/>
          <w:sz w:val="32"/>
          <w:szCs w:val="32"/>
          <w:lang w:val="en-US" w:eastAsia="zh-CN"/>
        </w:rPr>
        <w:t>80.32</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83.28</w:t>
      </w:r>
      <w:r>
        <w:rPr>
          <w:rFonts w:ascii="Times New Roman" w:hAnsi="Times New Roman" w:eastAsia="仿宋_GB2312" w:cs="Times New Roman"/>
          <w:color w:val="auto"/>
          <w:sz w:val="32"/>
          <w:szCs w:val="32"/>
        </w:rPr>
        <w:t>%,主要包括</w:t>
      </w:r>
      <w:r>
        <w:rPr>
          <w:rFonts w:hint="eastAsia" w:ascii="Times New Roman" w:hAnsi="Times New Roman" w:eastAsia="仿宋_GB2312"/>
          <w:color w:val="auto"/>
          <w:sz w:val="32"/>
          <w:szCs w:val="32"/>
        </w:rPr>
        <w:t>基本工资、津贴补贴、奖金、</w:t>
      </w:r>
      <w:r>
        <w:rPr>
          <w:rFonts w:hint="eastAsia" w:ascii="Times New Roman" w:hAnsi="Times New Roman" w:eastAsia="仿宋_GB2312"/>
          <w:color w:val="auto"/>
          <w:sz w:val="32"/>
          <w:szCs w:val="32"/>
          <w:lang w:eastAsia="zh-CN"/>
        </w:rPr>
        <w:t>机关事业单位基本养老保险缴费、职工基本医疗保险缴费、其他社会保障缴费、住房公积金、对个人和家庭的补助、奖励金。</w:t>
      </w:r>
    </w:p>
    <w:p w14:paraId="7939DE10">
      <w:pPr>
        <w:pStyle w:val="1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olor w:val="auto"/>
          <w:sz w:val="32"/>
          <w:szCs w:val="32"/>
        </w:rPr>
      </w:pPr>
      <w:r>
        <w:rPr>
          <w:rFonts w:ascii="Times New Roman" w:hAnsi="Times New Roman" w:eastAsia="仿宋_GB2312" w:cs="Times New Roman"/>
          <w:b/>
          <w:bCs/>
          <w:color w:val="auto"/>
          <w:sz w:val="32"/>
          <w:szCs w:val="32"/>
        </w:rPr>
        <w:t>公用经费</w:t>
      </w:r>
      <w:r>
        <w:rPr>
          <w:rFonts w:hint="eastAsia" w:ascii="Times New Roman" w:hAnsi="Times New Roman" w:eastAsia="仿宋_GB2312" w:cs="Times New Roman"/>
          <w:color w:val="auto"/>
          <w:sz w:val="32"/>
          <w:szCs w:val="32"/>
          <w:lang w:val="en-US" w:eastAsia="zh-CN"/>
        </w:rPr>
        <w:t>16.13</w:t>
      </w:r>
      <w:r>
        <w:rPr>
          <w:rFonts w:ascii="Times New Roman" w:hAnsi="Times New Roman" w:eastAsia="仿宋_GB2312" w:cs="Times New Roman"/>
          <w:color w:val="auto"/>
          <w:sz w:val="32"/>
          <w:szCs w:val="32"/>
        </w:rPr>
        <w:t>万元，占基本支出的</w:t>
      </w:r>
      <w:r>
        <w:rPr>
          <w:rFonts w:hint="eastAsia" w:ascii="Times New Roman" w:hAnsi="Times New Roman" w:eastAsia="仿宋_GB2312" w:cs="Times New Roman"/>
          <w:color w:val="auto"/>
          <w:sz w:val="32"/>
          <w:szCs w:val="32"/>
          <w:lang w:val="en-US" w:eastAsia="zh-CN"/>
        </w:rPr>
        <w:t>16.72</w:t>
      </w:r>
      <w:r>
        <w:rPr>
          <w:rFonts w:ascii="Times New Roman" w:hAnsi="Times New Roman" w:eastAsia="仿宋_GB2312" w:cs="Times New Roman"/>
          <w:color w:val="auto"/>
          <w:sz w:val="32"/>
          <w:szCs w:val="32"/>
        </w:rPr>
        <w:t>%，</w:t>
      </w:r>
      <w:r>
        <w:rPr>
          <w:rFonts w:hint="eastAsia" w:ascii="Times New Roman" w:hAnsi="Times New Roman" w:eastAsia="仿宋_GB2312"/>
          <w:color w:val="auto"/>
          <w:sz w:val="32"/>
          <w:szCs w:val="32"/>
        </w:rPr>
        <w:t>主要包括办公费、印刷费、邮电费、差旅费</w:t>
      </w:r>
      <w:r>
        <w:rPr>
          <w:rFonts w:hint="eastAsia" w:ascii="Times New Roman" w:hAnsi="Times New Roman" w:eastAsia="仿宋_GB2312"/>
          <w:color w:val="auto"/>
          <w:sz w:val="32"/>
          <w:szCs w:val="32"/>
          <w:lang w:eastAsia="zh-CN"/>
        </w:rPr>
        <w:t>、维修（护）费、培训费、公务接待费、</w:t>
      </w:r>
      <w:r>
        <w:rPr>
          <w:rFonts w:hint="eastAsia" w:ascii="Times New Roman" w:hAnsi="Times New Roman" w:eastAsia="仿宋_GB2312"/>
          <w:color w:val="auto"/>
          <w:sz w:val="32"/>
          <w:szCs w:val="32"/>
          <w:lang w:val="en-US" w:eastAsia="zh-CN"/>
        </w:rPr>
        <w:t>劳务会、</w:t>
      </w:r>
      <w:r>
        <w:rPr>
          <w:rFonts w:hint="eastAsia" w:ascii="Times New Roman" w:hAnsi="Times New Roman" w:eastAsia="仿宋_GB2312"/>
          <w:color w:val="auto"/>
          <w:sz w:val="32"/>
          <w:szCs w:val="32"/>
          <w:lang w:eastAsia="zh-CN"/>
        </w:rPr>
        <w:t>委托业务费、工会经费、其他交通费用、其他商品和服务支出</w:t>
      </w:r>
      <w:r>
        <w:rPr>
          <w:rFonts w:hint="eastAsia" w:ascii="Times New Roman" w:hAnsi="Times New Roman" w:eastAsia="仿宋_GB2312"/>
          <w:color w:val="auto"/>
          <w:sz w:val="32"/>
          <w:szCs w:val="32"/>
        </w:rPr>
        <w:t>。</w:t>
      </w:r>
    </w:p>
    <w:p w14:paraId="2D2EF393">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七、财政拨款“三公”经费支出决算情况说明</w:t>
      </w:r>
    </w:p>
    <w:p w14:paraId="61BE48BE">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（一）“三公”经费财政拨款支出决算总体情况说明</w:t>
      </w:r>
    </w:p>
    <w:p w14:paraId="00C3A09D">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yellow"/>
        </w:rPr>
      </w:pPr>
      <w:r>
        <w:rPr>
          <w:rFonts w:ascii="Times New Roman" w:hAnsi="Times New Roman" w:eastAsia="仿宋_GB2312" w:cs="Times New Roman"/>
          <w:color w:val="auto"/>
          <w:sz w:val="32"/>
          <w:szCs w:val="32"/>
        </w:rPr>
        <w:t>2024年度“三公”经费财政拨款支出预算为</w:t>
      </w:r>
      <w:r>
        <w:rPr>
          <w:rFonts w:hint="eastAsia" w:ascii="Times New Roman" w:hAnsi="Times New Roman" w:eastAsia="仿宋_GB2312" w:cs="Times New Roman"/>
          <w:color w:val="auto"/>
          <w:sz w:val="32"/>
          <w:szCs w:val="32"/>
          <w:lang w:val="en-US" w:eastAsia="zh-CN"/>
        </w:rPr>
        <w:t>0.3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0.21</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70</w:t>
      </w:r>
      <w:r>
        <w:rPr>
          <w:rFonts w:ascii="Times New Roman" w:hAnsi="Times New Roman" w:eastAsia="仿宋_GB2312" w:cs="Times New Roman"/>
          <w:color w:val="auto"/>
          <w:sz w:val="32"/>
          <w:szCs w:val="32"/>
        </w:rPr>
        <w:t>%；与上年相比减少</w:t>
      </w:r>
      <w:r>
        <w:rPr>
          <w:rFonts w:hint="eastAsia" w:ascii="Times New Roman" w:hAnsi="Times New Roman" w:eastAsia="仿宋_GB2312" w:cs="Times New Roman"/>
          <w:color w:val="auto"/>
          <w:sz w:val="32"/>
          <w:szCs w:val="32"/>
          <w:lang w:val="en-US" w:eastAsia="zh-CN"/>
        </w:rPr>
        <w:t>0.15</w:t>
      </w:r>
      <w:r>
        <w:rPr>
          <w:rFonts w:ascii="Times New Roman" w:hAnsi="Times New Roman" w:eastAsia="仿宋_GB2312" w:cs="Times New Roman"/>
          <w:color w:val="auto"/>
          <w:sz w:val="32"/>
          <w:szCs w:val="32"/>
        </w:rPr>
        <w:t>万元，降低</w:t>
      </w:r>
      <w:r>
        <w:rPr>
          <w:rFonts w:hint="eastAsia" w:ascii="Times New Roman" w:hAnsi="Times New Roman" w:eastAsia="仿宋_GB2312" w:cs="Times New Roman"/>
          <w:color w:val="auto"/>
          <w:sz w:val="32"/>
          <w:szCs w:val="32"/>
          <w:lang w:val="en-US" w:eastAsia="zh-CN"/>
        </w:rPr>
        <w:t>41.67</w:t>
      </w:r>
      <w:r>
        <w:rPr>
          <w:rFonts w:ascii="Times New Roman" w:hAnsi="Times New Roman" w:eastAsia="仿宋_GB2312" w:cs="Times New Roman"/>
          <w:color w:val="auto"/>
          <w:sz w:val="32"/>
          <w:szCs w:val="32"/>
        </w:rPr>
        <w:t>%。决算数小于预算数的主要原因是</w:t>
      </w:r>
      <w:r>
        <w:rPr>
          <w:rFonts w:hint="eastAsia" w:ascii="Times New Roman" w:hAnsi="Times New Roman" w:eastAsia="仿宋_GB2312" w:cs="Times New Roman"/>
          <w:color w:val="auto"/>
          <w:sz w:val="32"/>
          <w:szCs w:val="32"/>
          <w:lang w:val="en-US" w:eastAsia="zh-CN"/>
        </w:rPr>
        <w:t>严格控制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三公”经费</w:t>
      </w:r>
      <w:r>
        <w:rPr>
          <w:rFonts w:ascii="Times New Roman" w:hAnsi="Times New Roman" w:eastAsia="仿宋_GB2312" w:cs="Times New Roman"/>
          <w:color w:val="auto"/>
          <w:sz w:val="32"/>
          <w:szCs w:val="32"/>
        </w:rPr>
        <w:t>。决算数小于上年数的主要原因是</w:t>
      </w:r>
      <w:r>
        <w:rPr>
          <w:rFonts w:hint="eastAsia" w:ascii="Times New Roman" w:hAnsi="Times New Roman" w:eastAsia="仿宋_GB2312" w:cs="Times New Roman"/>
          <w:color w:val="auto"/>
          <w:sz w:val="32"/>
          <w:szCs w:val="32"/>
          <w:lang w:val="en-US" w:eastAsia="zh-CN"/>
        </w:rPr>
        <w:t>严格控制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三公”经费</w:t>
      </w:r>
      <w:r>
        <w:rPr>
          <w:rFonts w:ascii="Times New Roman" w:hAnsi="Times New Roman" w:eastAsia="仿宋_GB2312" w:cs="Times New Roman"/>
          <w:color w:val="auto"/>
          <w:sz w:val="32"/>
          <w:szCs w:val="32"/>
        </w:rPr>
        <w:t>。</w:t>
      </w:r>
    </w:p>
    <w:p w14:paraId="0D7EA1FB">
      <w:pPr>
        <w:pStyle w:val="12"/>
        <w:overflowPunct w:val="0"/>
        <w:autoSpaceDE/>
        <w:autoSpaceDN/>
        <w:spacing w:line="600" w:lineRule="exact"/>
        <w:ind w:firstLine="640" w:firstLineChars="200"/>
        <w:jc w:val="both"/>
        <w:rPr>
          <w:rFonts w:ascii="Times New Roman" w:hAnsi="Times New Roman" w:eastAsia="楷体_GB2312" w:cs="Times New Roman"/>
          <w:b/>
          <w:color w:val="auto"/>
          <w:sz w:val="32"/>
          <w:szCs w:val="32"/>
        </w:rPr>
      </w:pPr>
      <w:r>
        <w:rPr>
          <w:rFonts w:ascii="Times New Roman" w:hAnsi="Times New Roman" w:eastAsia="楷体_GB2312" w:cs="Times New Roman"/>
          <w:b/>
          <w:color w:val="auto"/>
          <w:sz w:val="32"/>
          <w:szCs w:val="32"/>
        </w:rPr>
        <w:t>（二）“三公”经费财政拨款支出决算具体情况说明</w:t>
      </w:r>
    </w:p>
    <w:p w14:paraId="5822ABD1">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highlight w:val="yellow"/>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33A41390">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%；与上年相比</w:t>
      </w:r>
      <w:r>
        <w:rPr>
          <w:rFonts w:hint="eastAsia" w:ascii="Times New Roman" w:hAnsi="Times New Roman" w:eastAsia="仿宋_GB2312" w:cs="Times New Roman"/>
          <w:color w:val="auto"/>
          <w:sz w:val="32"/>
          <w:szCs w:val="32"/>
          <w:lang w:val="en-US" w:eastAsia="zh-CN"/>
        </w:rPr>
        <w:t>持平</w:t>
      </w:r>
      <w:r>
        <w:rPr>
          <w:rFonts w:ascii="Times New Roman" w:hAnsi="Times New Roman" w:eastAsia="仿宋_GB2312" w:cs="Times New Roman"/>
          <w:color w:val="auto"/>
          <w:sz w:val="32"/>
          <w:szCs w:val="32"/>
        </w:rPr>
        <w:t>。</w:t>
      </w:r>
    </w:p>
    <w:p w14:paraId="0471113F">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0.21</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70</w:t>
      </w:r>
      <w:r>
        <w:rPr>
          <w:rFonts w:ascii="Times New Roman" w:hAnsi="Times New Roman" w:eastAsia="仿宋_GB2312" w:cs="Times New Roman"/>
          <w:color w:val="auto"/>
          <w:sz w:val="32"/>
          <w:szCs w:val="32"/>
        </w:rPr>
        <w:t>%；与上年相比减少</w:t>
      </w:r>
      <w:r>
        <w:rPr>
          <w:rFonts w:hint="eastAsia" w:ascii="Times New Roman" w:hAnsi="Times New Roman" w:eastAsia="仿宋_GB2312" w:cs="Times New Roman"/>
          <w:color w:val="auto"/>
          <w:sz w:val="32"/>
          <w:szCs w:val="32"/>
          <w:lang w:val="en-US" w:eastAsia="zh-CN"/>
        </w:rPr>
        <w:t>0.15</w:t>
      </w:r>
      <w:r>
        <w:rPr>
          <w:rFonts w:ascii="Times New Roman" w:hAnsi="Times New Roman" w:eastAsia="仿宋_GB2312" w:cs="Times New Roman"/>
          <w:color w:val="auto"/>
          <w:sz w:val="32"/>
          <w:szCs w:val="32"/>
        </w:rPr>
        <w:t>万元，降低</w:t>
      </w:r>
      <w:r>
        <w:rPr>
          <w:rFonts w:hint="eastAsia" w:ascii="Times New Roman" w:hAnsi="Times New Roman" w:eastAsia="仿宋_GB2312" w:cs="Times New Roman"/>
          <w:color w:val="auto"/>
          <w:sz w:val="32"/>
          <w:szCs w:val="32"/>
          <w:lang w:val="en-US" w:eastAsia="zh-CN"/>
        </w:rPr>
        <w:t>41.67</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决算数小于预算数的主要原因是严格控制“三公”经费。决算数小于上年数的主要原因是严格控制“三公”经费。</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12</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52</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rPr>
        <w:t>主要是餐费发生的接待支出</w:t>
      </w:r>
      <w:r>
        <w:rPr>
          <w:rFonts w:ascii="Times New Roman" w:hAnsi="Times New Roman" w:eastAsia="仿宋_GB2312" w:cs="Times New Roman"/>
          <w:color w:val="auto"/>
          <w:sz w:val="32"/>
          <w:szCs w:val="32"/>
        </w:rPr>
        <w:t>。</w:t>
      </w:r>
    </w:p>
    <w:p w14:paraId="1143108A">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八、政府性基金预算收入支出决算情况</w:t>
      </w:r>
    </w:p>
    <w:p w14:paraId="2A26E1CB">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2024年度政府性基金预算财政拨款收入</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万元；年初结转和结余</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万元，其中基本支出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万元，项目支出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万元；年末结转和结余</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万元。具体情况如下：</w:t>
      </w:r>
    </w:p>
    <w:p w14:paraId="49DC09F1">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本单位无政府性基金收支。</w:t>
      </w:r>
    </w:p>
    <w:p w14:paraId="2F010354">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九、关于机关运行经费支出说明</w:t>
      </w:r>
    </w:p>
    <w:p w14:paraId="5FF64DDE">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本部门2024年度机关运行经费支出</w:t>
      </w:r>
      <w:r>
        <w:rPr>
          <w:rFonts w:hint="eastAsia" w:ascii="Times New Roman" w:hAnsi="Times New Roman" w:eastAsia="仿宋_GB2312" w:cs="Times New Roman"/>
          <w:color w:val="auto"/>
          <w:sz w:val="32"/>
          <w:szCs w:val="32"/>
          <w:lang w:val="en-US" w:eastAsia="zh-CN"/>
        </w:rPr>
        <w:t>16.13</w:t>
      </w:r>
      <w:r>
        <w:rPr>
          <w:rFonts w:ascii="Times New Roman" w:hAnsi="Times New Roman" w:eastAsia="仿宋_GB2312" w:cs="Times New Roman"/>
          <w:color w:val="auto"/>
          <w:sz w:val="32"/>
          <w:szCs w:val="32"/>
        </w:rPr>
        <w:t>万元，比上年决算数减少</w:t>
      </w:r>
      <w:r>
        <w:rPr>
          <w:rFonts w:hint="eastAsia" w:ascii="Times New Roman" w:hAnsi="Times New Roman" w:eastAsia="仿宋_GB2312" w:cs="Times New Roman"/>
          <w:color w:val="auto"/>
          <w:sz w:val="32"/>
          <w:szCs w:val="32"/>
          <w:lang w:val="en-US" w:eastAsia="zh-CN"/>
        </w:rPr>
        <w:t>8.47</w:t>
      </w:r>
      <w:r>
        <w:rPr>
          <w:rFonts w:ascii="Times New Roman" w:hAnsi="Times New Roman" w:eastAsia="仿宋_GB2312" w:cs="Times New Roman"/>
          <w:color w:val="auto"/>
          <w:sz w:val="32"/>
          <w:szCs w:val="32"/>
        </w:rPr>
        <w:t>万元，降低</w:t>
      </w:r>
      <w:r>
        <w:rPr>
          <w:rFonts w:hint="eastAsia" w:ascii="Times New Roman" w:hAnsi="Times New Roman" w:eastAsia="仿宋_GB2312" w:cs="Times New Roman"/>
          <w:color w:val="auto"/>
          <w:sz w:val="32"/>
          <w:szCs w:val="32"/>
          <w:lang w:val="en-US" w:eastAsia="zh-CN"/>
        </w:rPr>
        <w:t>34.43</w:t>
      </w:r>
      <w:r>
        <w:rPr>
          <w:rFonts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val="en-US" w:eastAsia="zh-CN"/>
        </w:rPr>
        <w:t>办公费、印刷费、工会经费减少</w:t>
      </w:r>
      <w:r>
        <w:rPr>
          <w:rFonts w:ascii="Times New Roman" w:hAnsi="Times New Roman" w:eastAsia="仿宋_GB2312" w:cs="Times New Roman"/>
          <w:color w:val="auto"/>
          <w:sz w:val="32"/>
          <w:szCs w:val="32"/>
        </w:rPr>
        <w:t>。</w:t>
      </w:r>
    </w:p>
    <w:p w14:paraId="6CE39F95">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十、一般性支出情况说明</w:t>
      </w:r>
    </w:p>
    <w:p w14:paraId="356CCE77">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2024年本部门开支会议费</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万元；开支培训费</w:t>
      </w:r>
      <w:r>
        <w:rPr>
          <w:rFonts w:hint="eastAsia" w:ascii="Times New Roman" w:hAnsi="Times New Roman" w:eastAsia="仿宋_GB2312" w:cs="Times New Roman"/>
          <w:color w:val="auto"/>
          <w:sz w:val="32"/>
          <w:szCs w:val="32"/>
          <w:lang w:val="en-US" w:eastAsia="zh-CN"/>
        </w:rPr>
        <w:t>0.05</w:t>
      </w:r>
      <w:r>
        <w:rPr>
          <w:rFonts w:ascii="Times New Roman" w:hAnsi="Times New Roman" w:eastAsia="仿宋_GB2312" w:cs="Times New Roman"/>
          <w:color w:val="auto"/>
          <w:sz w:val="32"/>
          <w:szCs w:val="32"/>
        </w:rPr>
        <w:t>万元，用于开展</w:t>
      </w:r>
      <w:r>
        <w:rPr>
          <w:rFonts w:hint="eastAsia" w:ascii="Times New Roman" w:hAnsi="Times New Roman" w:eastAsia="仿宋_GB2312" w:cs="Times New Roman"/>
          <w:color w:val="auto"/>
          <w:sz w:val="32"/>
          <w:szCs w:val="32"/>
          <w:lang w:val="en-US" w:eastAsia="zh-CN"/>
        </w:rPr>
        <w:t>全是网评员</w:t>
      </w:r>
      <w:r>
        <w:rPr>
          <w:rFonts w:ascii="Times New Roman" w:hAnsi="Times New Roman" w:eastAsia="仿宋_GB2312" w:cs="Times New Roman"/>
          <w:color w:val="auto"/>
          <w:sz w:val="32"/>
          <w:szCs w:val="32"/>
        </w:rPr>
        <w:t>培训，人数</w:t>
      </w:r>
      <w:r>
        <w:rPr>
          <w:rFonts w:hint="eastAsia" w:ascii="Times New Roman" w:hAnsi="Times New Roman" w:eastAsia="仿宋_GB2312" w:cs="Times New Roman"/>
          <w:color w:val="auto"/>
          <w:sz w:val="32"/>
          <w:szCs w:val="32"/>
          <w:lang w:val="en-US" w:eastAsia="zh-CN"/>
        </w:rPr>
        <w:t>300</w:t>
      </w:r>
      <w:r>
        <w:rPr>
          <w:rFonts w:ascii="Times New Roman" w:hAnsi="Times New Roman" w:eastAsia="仿宋_GB2312" w:cs="Times New Roman"/>
          <w:color w:val="auto"/>
          <w:sz w:val="32"/>
          <w:szCs w:val="32"/>
        </w:rPr>
        <w:t>人，内容为</w:t>
      </w:r>
      <w:r>
        <w:rPr>
          <w:rFonts w:hint="eastAsia" w:ascii="Times New Roman" w:hAnsi="Times New Roman" w:eastAsia="仿宋_GB2312"/>
          <w:color w:val="auto"/>
          <w:sz w:val="32"/>
          <w:szCs w:val="32"/>
          <w:lang w:eastAsia="zh-CN"/>
        </w:rPr>
        <w:t>网评员业务知识培训</w:t>
      </w:r>
      <w:r>
        <w:rPr>
          <w:rFonts w:ascii="Times New Roman" w:hAnsi="Times New Roman" w:eastAsia="仿宋_GB2312" w:cs="Times New Roman"/>
          <w:color w:val="auto"/>
          <w:sz w:val="32"/>
          <w:szCs w:val="32"/>
        </w:rPr>
        <w:t>；举办……等节庆、晚会、论坛、赛事活动，开支</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p>
    <w:p w14:paraId="40B9032E">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十一、关于政府采购支出说明</w:t>
      </w:r>
    </w:p>
    <w:p w14:paraId="33DAE571">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本部门2024年度政府采购支出总额</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p>
    <w:p w14:paraId="65FE41DC">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90AE865">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rPr>
        <w:t>本单位共有车辆0辆，其中，主要领导干部用车0辆，机要通信用车0辆、应急保障用车0辆、执法执勤用车0辆、特种专业技术用车0辆、其他用车0辆，单位价值50万元以上通用设备0台（套）；单位价值100万元以上专用设备0台（套）</w:t>
      </w:r>
      <w:r>
        <w:rPr>
          <w:rFonts w:ascii="Times New Roman" w:hAnsi="Times New Roman" w:eastAsia="仿宋_GB2312" w:cs="Times New Roman"/>
          <w:color w:val="auto"/>
          <w:sz w:val="32"/>
          <w:szCs w:val="32"/>
        </w:rPr>
        <w:t>。</w:t>
      </w:r>
    </w:p>
    <w:p w14:paraId="4FC1B7A7">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045B19B3">
      <w:pPr>
        <w:overflowPunct w:val="0"/>
        <w:spacing w:line="600" w:lineRule="exact"/>
        <w:ind w:firstLine="640" w:firstLineChars="200"/>
        <w:rPr>
          <w:rFonts w:ascii="Times New Roman" w:hAnsi="Times New Roman" w:eastAsia="楷体" w:cs="Times New Roman"/>
          <w:b/>
          <w:bCs/>
          <w:color w:val="auto"/>
          <w:sz w:val="32"/>
          <w:szCs w:val="32"/>
        </w:rPr>
      </w:pPr>
      <w:r>
        <w:rPr>
          <w:rFonts w:ascii="Times New Roman" w:hAnsi="Times New Roman" w:eastAsia="楷体_GB2312" w:cs="Times New Roman"/>
          <w:b/>
          <w:bCs/>
          <w:color w:val="auto"/>
          <w:sz w:val="32"/>
          <w:szCs w:val="32"/>
        </w:rPr>
        <w:t>（一）绩效评价工作开展情况。</w:t>
      </w:r>
      <w:r>
        <w:rPr>
          <w:rFonts w:ascii="Times New Roman" w:hAnsi="Times New Roman" w:eastAsia="仿宋_GB2312" w:cs="Times New Roman"/>
          <w:b/>
          <w:bCs/>
          <w:color w:val="auto"/>
          <w:kern w:val="0"/>
          <w:sz w:val="32"/>
          <w:szCs w:val="32"/>
        </w:rPr>
        <w:t>一是绩效自评开展情况。</w:t>
      </w:r>
      <w:r>
        <w:rPr>
          <w:rFonts w:ascii="Times New Roman" w:hAnsi="Times New Roman" w:eastAsia="仿宋_GB2312" w:cs="Times New Roman"/>
          <w:color w:val="auto"/>
          <w:kern w:val="0"/>
          <w:sz w:val="32"/>
          <w:szCs w:val="32"/>
        </w:rPr>
        <w:t>组织对2024年度本部门（单位）整体支出开展绩效自评，涉及项目</w:t>
      </w:r>
      <w:r>
        <w:rPr>
          <w:rFonts w:hint="eastAsia" w:ascii="Times New Roman" w:hAnsi="Times New Roman" w:eastAsia="仿宋_GB2312" w:cs="Times New Roman"/>
          <w:color w:val="auto"/>
          <w:kern w:val="0"/>
          <w:sz w:val="32"/>
          <w:szCs w:val="32"/>
          <w:lang w:val="en-US" w:eastAsia="zh-CN"/>
        </w:rPr>
        <w:t>4</w:t>
      </w:r>
      <w:r>
        <w:rPr>
          <w:rFonts w:ascii="Times New Roman" w:hAnsi="Times New Roman" w:eastAsia="仿宋_GB2312" w:cs="Times New Roman"/>
          <w:color w:val="auto"/>
          <w:kern w:val="0"/>
          <w:sz w:val="32"/>
          <w:szCs w:val="32"/>
        </w:rPr>
        <w:t>个，共涉及资金</w:t>
      </w:r>
      <w:r>
        <w:rPr>
          <w:rFonts w:hint="eastAsia" w:ascii="Times New Roman" w:hAnsi="Times New Roman" w:eastAsia="仿宋_GB2312" w:cs="Times New Roman"/>
          <w:color w:val="auto"/>
          <w:kern w:val="0"/>
          <w:sz w:val="32"/>
          <w:szCs w:val="32"/>
          <w:lang w:val="en-US" w:eastAsia="zh-CN"/>
        </w:rPr>
        <w:t>73.92</w:t>
      </w:r>
      <w:r>
        <w:rPr>
          <w:rFonts w:ascii="Times New Roman" w:hAnsi="Times New Roman" w:eastAsia="仿宋_GB2312" w:cs="Times New Roman"/>
          <w:color w:val="auto"/>
          <w:kern w:val="0"/>
          <w:sz w:val="32"/>
          <w:szCs w:val="32"/>
        </w:rPr>
        <w:t>万元。其中，一般公共预算项目</w:t>
      </w:r>
      <w:r>
        <w:rPr>
          <w:rFonts w:hint="eastAsia" w:ascii="Times New Roman" w:hAnsi="Times New Roman" w:eastAsia="仿宋_GB2312" w:cs="Times New Roman"/>
          <w:color w:val="auto"/>
          <w:kern w:val="0"/>
          <w:sz w:val="32"/>
          <w:szCs w:val="32"/>
          <w:lang w:val="en-US" w:eastAsia="zh-CN"/>
        </w:rPr>
        <w:t>4</w:t>
      </w:r>
      <w:r>
        <w:rPr>
          <w:rFonts w:ascii="Times New Roman" w:hAnsi="Times New Roman" w:eastAsia="仿宋_GB2312" w:cs="Times New Roman"/>
          <w:color w:val="auto"/>
          <w:kern w:val="0"/>
          <w:sz w:val="32"/>
          <w:szCs w:val="32"/>
        </w:rPr>
        <w:t xml:space="preserve"> 个</w:t>
      </w:r>
      <w:r>
        <w:rPr>
          <w:rFonts w:hint="eastAsia" w:ascii="Times New Roman" w:hAnsi="Times New Roman" w:eastAsia="仿宋_GB2312" w:cs="Times New Roman"/>
          <w:color w:val="auto"/>
          <w:kern w:val="0"/>
          <w:sz w:val="32"/>
          <w:szCs w:val="32"/>
          <w:lang w:val="en-US" w:eastAsia="zh-CN"/>
        </w:rPr>
        <w:t>73.13</w:t>
      </w:r>
      <w:r>
        <w:rPr>
          <w:rFonts w:ascii="Times New Roman" w:hAnsi="Times New Roman" w:eastAsia="仿宋_GB2312" w:cs="Times New Roman"/>
          <w:color w:val="auto"/>
          <w:kern w:val="0"/>
          <w:sz w:val="32"/>
          <w:szCs w:val="32"/>
        </w:rPr>
        <w:t xml:space="preserve"> 万元，占一般公共预算支出总额的</w:t>
      </w:r>
      <w:r>
        <w:rPr>
          <w:rFonts w:hint="eastAsia" w:ascii="Times New Roman" w:hAnsi="Times New Roman" w:eastAsia="仿宋_GB2312" w:cs="Times New Roman"/>
          <w:color w:val="auto"/>
          <w:kern w:val="0"/>
          <w:sz w:val="32"/>
          <w:szCs w:val="32"/>
          <w:lang w:val="en-US" w:eastAsia="zh-CN"/>
        </w:rPr>
        <w:t>42</w:t>
      </w:r>
      <w:r>
        <w:rPr>
          <w:rFonts w:ascii="Times New Roman" w:hAnsi="Times New Roman" w:eastAsia="仿宋_GB2312" w:cs="Times New Roman"/>
          <w:color w:val="auto"/>
          <w:kern w:val="0"/>
          <w:sz w:val="32"/>
          <w:szCs w:val="32"/>
        </w:rPr>
        <w:t>%；政府性基金预算项目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万元，占政府性基金预算支出总额的</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%；国有资本经营预算项目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 xml:space="preserve"> 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 xml:space="preserve"> 万元，占国有资本经营预算支出总额的</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%；社会保险基金预算项目</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个</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 xml:space="preserve"> 万元，占社会保险基金预算支出总额的</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w:t>
      </w:r>
      <w:r>
        <w:rPr>
          <w:rFonts w:ascii="Times New Roman" w:hAnsi="Times New Roman" w:eastAsia="仿宋_GB2312" w:cs="Times New Roman"/>
          <w:b/>
          <w:bCs/>
          <w:color w:val="auto"/>
          <w:kern w:val="0"/>
          <w:sz w:val="32"/>
          <w:szCs w:val="32"/>
        </w:rPr>
        <w:t>二是部门评价开展情况（如有，一级预算部门填写）。</w:t>
      </w:r>
      <w:r>
        <w:rPr>
          <w:rFonts w:ascii="Times New Roman" w:hAnsi="Times New Roman" w:eastAsia="仿宋_GB2312" w:cs="Times New Roman"/>
          <w:color w:val="auto"/>
          <w:kern w:val="0"/>
          <w:sz w:val="32"/>
          <w:szCs w:val="32"/>
        </w:rPr>
        <w:t>组织对所属单位2024年度“</w:t>
      </w:r>
      <w:r>
        <w:rPr>
          <w:rFonts w:hint="eastAsia" w:ascii="Times New Roman" w:hAnsi="Times New Roman" w:eastAsia="仿宋_GB2312" w:cs="Times New Roman"/>
          <w:color w:val="auto"/>
          <w:sz w:val="32"/>
          <w:szCs w:val="32"/>
          <w:lang w:val="en-US" w:eastAsia="zh-CN"/>
        </w:rPr>
        <w:t>全市网络宣传与舆情处置经费</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沅江市网络安全应急指挥中心</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运行专项工作经费</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sz w:val="32"/>
          <w:szCs w:val="32"/>
        </w:rPr>
        <w:t>全市网络综合治理体系建设工作经费</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sz w:val="32"/>
          <w:szCs w:val="32"/>
        </w:rPr>
        <w:t>网评员培训经费</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sz w:val="32"/>
          <w:szCs w:val="32"/>
        </w:rPr>
        <w:t>网络新媒体推广合作专项经费</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sz w:val="32"/>
          <w:szCs w:val="32"/>
        </w:rPr>
        <w:t>全市网络安全管理与执法经费</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sz w:val="32"/>
          <w:szCs w:val="32"/>
        </w:rPr>
        <w:t>网络舆情监测管理平台维护费</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lang w:val="en-US" w:eastAsia="zh-CN"/>
        </w:rPr>
        <w:t>7</w:t>
      </w:r>
      <w:r>
        <w:rPr>
          <w:rFonts w:ascii="Times New Roman" w:hAnsi="Times New Roman" w:eastAsia="仿宋_GB2312" w:cs="Times New Roman"/>
          <w:color w:val="auto"/>
          <w:kern w:val="0"/>
          <w:sz w:val="32"/>
          <w:szCs w:val="32"/>
        </w:rPr>
        <w:t>个项目开展了部门评价，涉及一般公共预算支出</w:t>
      </w:r>
      <w:r>
        <w:rPr>
          <w:rFonts w:hint="eastAsia" w:ascii="Times New Roman" w:hAnsi="Times New Roman" w:eastAsia="仿宋_GB2312" w:cs="Times New Roman"/>
          <w:color w:val="auto"/>
          <w:sz w:val="32"/>
          <w:szCs w:val="32"/>
          <w:lang w:val="en-US" w:eastAsia="zh-CN"/>
        </w:rPr>
        <w:t>73.13</w:t>
      </w:r>
      <w:r>
        <w:rPr>
          <w:rFonts w:ascii="Times New Roman" w:hAnsi="Times New Roman" w:eastAsia="仿宋_GB2312" w:cs="Times New Roman"/>
          <w:color w:val="auto"/>
          <w:kern w:val="0"/>
          <w:sz w:val="32"/>
          <w:szCs w:val="32"/>
        </w:rPr>
        <w:t>万元，政府性基金预算支出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万元，国有资本经营预算支出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万元，社会保险基金预算支出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万元。</w:t>
      </w:r>
      <w:r>
        <w:rPr>
          <w:rFonts w:ascii="Times New Roman" w:hAnsi="Times New Roman" w:eastAsia="仿宋_GB2312" w:cs="Times New Roman"/>
          <w:b/>
          <w:bCs/>
          <w:color w:val="auto"/>
          <w:kern w:val="0"/>
          <w:sz w:val="32"/>
          <w:szCs w:val="32"/>
        </w:rPr>
        <w:t>三是事前绩效评估开展情况（如有，一级预算部门填写）。</w:t>
      </w:r>
      <w:r>
        <w:rPr>
          <w:rFonts w:ascii="Times New Roman" w:hAnsi="Times New Roman" w:eastAsia="仿宋_GB2312" w:cs="Times New Roman"/>
          <w:color w:val="auto"/>
          <w:kern w:val="0"/>
          <w:sz w:val="32"/>
          <w:szCs w:val="32"/>
        </w:rPr>
        <w:t>组织对2024年度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kern w:val="0"/>
          <w:sz w:val="32"/>
          <w:szCs w:val="32"/>
        </w:rPr>
        <w:t>个新增重大政策和</w:t>
      </w:r>
      <w:r>
        <w:rPr>
          <w:rFonts w:ascii="Times New Roman" w:hAnsi="Times New Roman" w:eastAsia="仿宋_GB2312" w:cs="Times New Roman"/>
          <w:color w:val="auto"/>
          <w:sz w:val="32"/>
          <w:szCs w:val="32"/>
        </w:rPr>
        <w:t>XX</w:t>
      </w:r>
      <w:r>
        <w:rPr>
          <w:rFonts w:ascii="Times New Roman" w:hAnsi="Times New Roman" w:eastAsia="仿宋_GB2312" w:cs="Times New Roman"/>
          <w:color w:val="auto"/>
          <w:kern w:val="0"/>
          <w:sz w:val="32"/>
          <w:szCs w:val="32"/>
        </w:rPr>
        <w:t>个重大项目开展事前绩效评估，共涉及资金</w:t>
      </w:r>
      <w:r>
        <w:rPr>
          <w:rFonts w:hint="eastAsia" w:ascii="Times New Roman" w:hAnsi="Times New Roman" w:eastAsia="仿宋_GB2312" w:cs="Times New Roman"/>
          <w:color w:val="auto"/>
          <w:kern w:val="0"/>
          <w:sz w:val="32"/>
          <w:szCs w:val="32"/>
          <w:lang w:val="en-US" w:eastAsia="zh-CN"/>
        </w:rPr>
        <w:t>0</w:t>
      </w:r>
      <w:r>
        <w:rPr>
          <w:rFonts w:ascii="Times New Roman" w:hAnsi="Times New Roman" w:eastAsia="仿宋_GB2312" w:cs="Times New Roman"/>
          <w:color w:val="auto"/>
          <w:kern w:val="0"/>
          <w:sz w:val="32"/>
          <w:szCs w:val="32"/>
        </w:rPr>
        <w:t>万元。</w:t>
      </w:r>
    </w:p>
    <w:p w14:paraId="1EE5F60A">
      <w:pPr>
        <w:overflowPunct w:val="0"/>
        <w:spacing w:line="600" w:lineRule="exact"/>
        <w:ind w:firstLine="640" w:firstLineChars="200"/>
        <w:rPr>
          <w:rFonts w:ascii="Times New Roman" w:hAnsi="Times New Roman" w:eastAsia="仿宋_GB2312" w:cs="Times New Roman"/>
          <w:bCs/>
          <w:color w:val="auto"/>
          <w:sz w:val="32"/>
          <w:szCs w:val="32"/>
        </w:rPr>
      </w:pPr>
      <w:r>
        <w:rPr>
          <w:rFonts w:ascii="Times New Roman" w:hAnsi="Times New Roman" w:eastAsia="楷体_GB2312" w:cs="Times New Roman"/>
          <w:b/>
          <w:bCs/>
          <w:color w:val="auto"/>
          <w:sz w:val="32"/>
          <w:szCs w:val="32"/>
        </w:rPr>
        <w:t>（二）绩效评价结果。</w:t>
      </w:r>
      <w:r>
        <w:rPr>
          <w:rFonts w:ascii="Times New Roman" w:hAnsi="Times New Roman" w:eastAsia="仿宋_GB2312" w:cs="Times New Roman"/>
          <w:b/>
          <w:bCs/>
          <w:color w:val="auto"/>
          <w:kern w:val="0"/>
          <w:sz w:val="32"/>
          <w:szCs w:val="32"/>
        </w:rPr>
        <w:t>一是绩效自评结果。</w:t>
      </w:r>
      <w:r>
        <w:rPr>
          <w:rFonts w:ascii="Times New Roman" w:hAnsi="Times New Roman" w:eastAsia="仿宋_GB2312" w:cs="Times New Roman"/>
          <w:color w:val="auto"/>
          <w:kern w:val="0"/>
          <w:sz w:val="32"/>
          <w:szCs w:val="32"/>
        </w:rPr>
        <w:t>2024年度本部门（单位）整体支出</w:t>
      </w:r>
      <w:r>
        <w:rPr>
          <w:rFonts w:ascii="Times New Roman" w:hAnsi="Times New Roman" w:eastAsia="仿宋_GB2312" w:cs="Times New Roman"/>
          <w:color w:val="auto"/>
          <w:sz w:val="32"/>
          <w:szCs w:val="32"/>
        </w:rPr>
        <w:t>全年预算数</w:t>
      </w:r>
      <w:r>
        <w:rPr>
          <w:rFonts w:hint="eastAsia" w:ascii="Times New Roman" w:hAnsi="Times New Roman" w:eastAsia="仿宋_GB2312" w:cs="Times New Roman"/>
          <w:color w:val="auto"/>
          <w:sz w:val="32"/>
          <w:szCs w:val="32"/>
          <w:lang w:val="en-US" w:eastAsia="zh-CN"/>
        </w:rPr>
        <w:t>109.04</w:t>
      </w:r>
      <w:r>
        <w:rPr>
          <w:rFonts w:ascii="Times New Roman" w:hAnsi="Times New Roman" w:eastAsia="仿宋_GB2312" w:cs="Times New Roman"/>
          <w:color w:val="auto"/>
          <w:sz w:val="32"/>
          <w:szCs w:val="32"/>
        </w:rPr>
        <w:t>万元，执行数</w:t>
      </w:r>
      <w:r>
        <w:rPr>
          <w:rFonts w:hint="eastAsia" w:ascii="Times New Roman" w:hAnsi="Times New Roman" w:eastAsia="仿宋_GB2312" w:cs="Times New Roman"/>
          <w:color w:val="auto"/>
          <w:sz w:val="32"/>
          <w:szCs w:val="32"/>
          <w:lang w:val="en-US" w:eastAsia="zh-CN"/>
        </w:rPr>
        <w:t>171.09</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kern w:val="0"/>
          <w:sz w:val="32"/>
          <w:szCs w:val="32"/>
        </w:rPr>
        <w:t>，绩效自评得分</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分</w:t>
      </w:r>
      <w:r>
        <w:rPr>
          <w:rFonts w:ascii="Times New Roman" w:hAnsi="Times New Roman" w:eastAsia="仿宋_GB2312" w:cs="Times New Roman"/>
          <w:color w:val="auto"/>
          <w:kern w:val="0"/>
          <w:sz w:val="32"/>
          <w:szCs w:val="32"/>
        </w:rPr>
        <w:t>，评价等级为</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好</w:t>
      </w:r>
      <w:r>
        <w:rPr>
          <w:rFonts w:ascii="Times New Roman" w:hAnsi="Times New Roman" w:eastAsia="仿宋_GB2312" w:cs="Times New Roman"/>
          <w:color w:val="auto"/>
          <w:sz w:val="32"/>
          <w:szCs w:val="32"/>
        </w:rPr>
        <w:t>”。绩效目标完成情况：</w:t>
      </w:r>
      <w:r>
        <w:rPr>
          <w:rFonts w:ascii="Times New Roman" w:hAnsi="Times New Roman" w:eastAsia="仿宋_GB2312" w:cs="Times New Roman"/>
          <w:color w:val="auto"/>
          <w:sz w:val="32"/>
          <w:szCs w:val="32"/>
          <w:highlight w:val="none"/>
        </w:rPr>
        <w:t>一是</w:t>
      </w:r>
      <w:r>
        <w:rPr>
          <w:rFonts w:hint="eastAsia" w:ascii="Times New Roman" w:hAnsi="Times New Roman" w:eastAsia="仿宋_GB2312" w:cs="Times New Roman"/>
          <w:color w:val="auto"/>
          <w:sz w:val="32"/>
          <w:szCs w:val="32"/>
          <w:highlight w:val="none"/>
          <w:lang w:val="en-US" w:eastAsia="zh-CN"/>
        </w:rPr>
        <w:t>网上主流思想舆论持续壮大</w:t>
      </w:r>
      <w:r>
        <w:rPr>
          <w:rFonts w:ascii="Times New Roman" w:hAnsi="Times New Roman" w:eastAsia="仿宋_GB2312" w:cs="Times New Roman"/>
          <w:color w:val="auto"/>
          <w:sz w:val="32"/>
          <w:szCs w:val="32"/>
          <w:highlight w:val="none"/>
        </w:rPr>
        <w:t>；二是</w:t>
      </w:r>
      <w:r>
        <w:rPr>
          <w:rFonts w:hint="eastAsia" w:ascii="Times New Roman" w:hAnsi="Times New Roman" w:eastAsia="仿宋_GB2312" w:cs="Times New Roman"/>
          <w:color w:val="auto"/>
          <w:sz w:val="32"/>
          <w:szCs w:val="32"/>
          <w:highlight w:val="none"/>
          <w:lang w:val="en-US" w:eastAsia="zh-CN"/>
        </w:rPr>
        <w:t>全是网上舆论平稳有序</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三是全市未发生重大网络安全事件，发现的主要问题是绩效评价体系有待进一步完善。究其原因，一是预算编制方法有待改进，二是财务管理有待加强。下一步改进措施：一是加强单位预算管理，提高预算编制的精准性；二是牢固树立过紧日子思想，规范单位财务管理。</w:t>
      </w:r>
      <w:r>
        <w:rPr>
          <w:rFonts w:ascii="Times New Roman" w:hAnsi="Times New Roman" w:eastAsia="仿宋_GB2312" w:cs="Times New Roman"/>
          <w:b/>
          <w:bCs/>
          <w:color w:val="auto"/>
          <w:kern w:val="0"/>
          <w:sz w:val="32"/>
          <w:szCs w:val="32"/>
        </w:rPr>
        <w:t>二是部门评价结果。</w:t>
      </w:r>
      <w:r>
        <w:rPr>
          <w:rFonts w:hint="eastAsia" w:ascii="Times New Roman" w:hAnsi="Times New Roman" w:eastAsia="仿宋_GB2312" w:cs="Times New Roman"/>
          <w:color w:val="auto"/>
          <w:kern w:val="0"/>
          <w:sz w:val="32"/>
          <w:szCs w:val="32"/>
          <w:lang w:val="en-US" w:eastAsia="zh-CN"/>
        </w:rPr>
        <w:t>2024年度不涉及</w:t>
      </w:r>
      <w:r>
        <w:rPr>
          <w:rFonts w:ascii="Times New Roman" w:hAnsi="Times New Roman" w:eastAsia="仿宋_GB2312" w:cs="Times New Roman"/>
          <w:color w:val="auto"/>
          <w:kern w:val="0"/>
          <w:sz w:val="32"/>
          <w:szCs w:val="32"/>
        </w:rPr>
        <w:t>。</w:t>
      </w:r>
      <w:r>
        <w:rPr>
          <w:rFonts w:ascii="Times New Roman" w:hAnsi="Times New Roman" w:eastAsia="仿宋_GB2312" w:cs="Times New Roman"/>
          <w:b/>
          <w:bCs/>
          <w:color w:val="auto"/>
          <w:kern w:val="0"/>
          <w:sz w:val="32"/>
          <w:szCs w:val="32"/>
        </w:rPr>
        <w:t>三是事前绩效评估结果。</w:t>
      </w:r>
      <w:r>
        <w:rPr>
          <w:rFonts w:hint="eastAsia" w:ascii="Times New Roman" w:hAnsi="Times New Roman" w:eastAsia="仿宋_GB2312" w:cs="Times New Roman"/>
          <w:color w:val="auto"/>
          <w:kern w:val="0"/>
          <w:sz w:val="32"/>
          <w:szCs w:val="32"/>
          <w:lang w:val="en-US" w:eastAsia="zh-CN"/>
        </w:rPr>
        <w:t>2024年度不涉及</w:t>
      </w:r>
    </w:p>
    <w:p w14:paraId="29EEE92D">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rPr>
        <w:t>2024年部门整体支出绩效自评结果为</w:t>
      </w:r>
      <w:r>
        <w:rPr>
          <w:rFonts w:hint="eastAsia" w:ascii="Times New Roman" w:hAnsi="Times New Roman" w:eastAsia="仿宋_GB2312" w:cs="Times New Roman"/>
          <w:color w:val="auto"/>
          <w:sz w:val="32"/>
          <w:szCs w:val="32"/>
          <w:lang w:eastAsia="zh-CN"/>
        </w:rPr>
        <w:t>好</w:t>
      </w:r>
      <w:r>
        <w:rPr>
          <w:rFonts w:hint="eastAsia" w:ascii="Times New Roman" w:hAnsi="Times New Roman" w:eastAsia="仿宋_GB2312" w:cs="Times New Roman"/>
          <w:color w:val="auto"/>
          <w:sz w:val="32"/>
          <w:szCs w:val="32"/>
        </w:rPr>
        <w:t>，本次绩效自评结果将作为下年度部门预算安排的重要依据。自评报告经财政</w:t>
      </w:r>
      <w:r>
        <w:rPr>
          <w:rFonts w:hint="eastAsia" w:ascii="Times New Roman" w:hAnsi="Times New Roman" w:eastAsia="仿宋_GB2312" w:cs="Times New Roman"/>
          <w:color w:val="auto"/>
          <w:sz w:val="32"/>
          <w:szCs w:val="32"/>
          <w:lang w:val="en-US" w:eastAsia="zh-CN"/>
        </w:rPr>
        <w:t>部门</w:t>
      </w:r>
      <w:r>
        <w:rPr>
          <w:rFonts w:hint="eastAsia" w:ascii="Times New Roman" w:hAnsi="Times New Roman" w:eastAsia="仿宋_GB2312" w:cs="Times New Roman"/>
          <w:color w:val="auto"/>
          <w:sz w:val="32"/>
          <w:szCs w:val="32"/>
        </w:rPr>
        <w:t>审核后，将按要求通过</w:t>
      </w:r>
      <w:r>
        <w:rPr>
          <w:rFonts w:hint="eastAsia" w:ascii="Times New Roman" w:hAnsi="Times New Roman" w:eastAsia="仿宋_GB2312" w:cs="Times New Roman"/>
          <w:color w:val="auto"/>
          <w:sz w:val="32"/>
          <w:szCs w:val="32"/>
          <w:lang w:val="en-US" w:eastAsia="zh-CN"/>
        </w:rPr>
        <w:t>政府</w:t>
      </w:r>
      <w:r>
        <w:rPr>
          <w:rFonts w:hint="eastAsia" w:ascii="Times New Roman" w:hAnsi="Times New Roman" w:eastAsia="仿宋_GB2312" w:cs="Times New Roman"/>
          <w:color w:val="auto"/>
          <w:sz w:val="32"/>
          <w:szCs w:val="32"/>
        </w:rPr>
        <w:t>官网向社会公开，主动接受社会监督。</w:t>
      </w:r>
    </w:p>
    <w:p w14:paraId="41119049">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61F2ADC9">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6EBF5FED">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7A938A78">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50D1EC29">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765BFBCF">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01AC5555">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1023348F">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5498D57F">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5158FFCA">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3A6ABF7A">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6BFB2340">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0CDDEAF0">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4FB90EE4">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30897FE6">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p>
    <w:p w14:paraId="49E43CC4">
      <w:pPr>
        <w:pStyle w:val="12"/>
        <w:spacing w:line="360" w:lineRule="auto"/>
        <w:jc w:val="center"/>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第四部分名词解释</w:t>
      </w:r>
    </w:p>
    <w:p w14:paraId="77FBEE2B">
      <w:pPr>
        <w:pStyle w:val="12"/>
        <w:spacing w:line="360" w:lineRule="auto"/>
        <w:jc w:val="center"/>
        <w:rPr>
          <w:rFonts w:hint="eastAsia" w:ascii="方正小标宋简体" w:hAnsi="方正小标宋简体" w:eastAsia="方正小标宋简体" w:cs="方正小标宋简体"/>
          <w:color w:val="auto"/>
          <w:sz w:val="52"/>
          <w:szCs w:val="52"/>
        </w:rPr>
      </w:pPr>
    </w:p>
    <w:p w14:paraId="2E8C8AF2">
      <w:pPr>
        <w:pStyle w:val="12"/>
        <w:spacing w:line="360" w:lineRule="auto"/>
        <w:jc w:val="center"/>
        <w:rPr>
          <w:rFonts w:hint="eastAsia" w:ascii="方正小标宋简体" w:hAnsi="方正小标宋简体" w:eastAsia="方正小标宋简体" w:cs="方正小标宋简体"/>
          <w:color w:val="auto"/>
          <w:sz w:val="52"/>
          <w:szCs w:val="52"/>
        </w:rPr>
      </w:pPr>
    </w:p>
    <w:p w14:paraId="7671ED50">
      <w:pPr>
        <w:pStyle w:val="12"/>
        <w:spacing w:line="360" w:lineRule="auto"/>
        <w:jc w:val="center"/>
        <w:rPr>
          <w:rFonts w:hint="eastAsia" w:ascii="方正小标宋简体" w:hAnsi="方正小标宋简体" w:eastAsia="方正小标宋简体" w:cs="方正小标宋简体"/>
          <w:color w:val="auto"/>
          <w:sz w:val="52"/>
          <w:szCs w:val="52"/>
        </w:rPr>
      </w:pPr>
    </w:p>
    <w:p w14:paraId="1578106E">
      <w:pPr>
        <w:pStyle w:val="12"/>
        <w:spacing w:line="360" w:lineRule="auto"/>
        <w:jc w:val="center"/>
        <w:rPr>
          <w:rFonts w:hint="eastAsia" w:ascii="方正小标宋简体" w:hAnsi="方正小标宋简体" w:eastAsia="方正小标宋简体" w:cs="方正小标宋简体"/>
          <w:color w:val="auto"/>
          <w:sz w:val="52"/>
          <w:szCs w:val="52"/>
        </w:rPr>
      </w:pPr>
    </w:p>
    <w:p w14:paraId="50833B1F">
      <w:pPr>
        <w:pStyle w:val="12"/>
        <w:spacing w:line="360" w:lineRule="auto"/>
        <w:jc w:val="center"/>
        <w:rPr>
          <w:rFonts w:hint="eastAsia" w:ascii="方正小标宋简体" w:hAnsi="方正小标宋简体" w:eastAsia="方正小标宋简体" w:cs="方正小标宋简体"/>
          <w:color w:val="auto"/>
          <w:sz w:val="52"/>
          <w:szCs w:val="52"/>
        </w:rPr>
      </w:pPr>
    </w:p>
    <w:p w14:paraId="55B72E08">
      <w:pPr>
        <w:pStyle w:val="12"/>
        <w:spacing w:line="360" w:lineRule="auto"/>
        <w:jc w:val="center"/>
        <w:rPr>
          <w:rFonts w:hint="eastAsia" w:ascii="方正小标宋简体" w:hAnsi="方正小标宋简体" w:eastAsia="方正小标宋简体" w:cs="方正小标宋简体"/>
          <w:color w:val="auto"/>
          <w:sz w:val="52"/>
          <w:szCs w:val="52"/>
        </w:rPr>
      </w:pPr>
    </w:p>
    <w:p w14:paraId="4FF8A895">
      <w:pPr>
        <w:widowControl/>
        <w:jc w:val="left"/>
        <w:rPr>
          <w:rFonts w:ascii="Times New Roman" w:hAnsi="Times New Roman" w:cs="Times New Roman"/>
          <w:color w:val="auto"/>
          <w:kern w:val="0"/>
          <w:sz w:val="32"/>
          <w:szCs w:val="32"/>
        </w:rPr>
      </w:pPr>
    </w:p>
    <w:p w14:paraId="349E863F">
      <w:pPr>
        <w:pStyle w:val="12"/>
        <w:spacing w:line="600" w:lineRule="exact"/>
        <w:ind w:firstLine="640" w:firstLineChars="2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rPr>
        <w:t>一、财政拨款收入：指中央财政当年拨付的资金。</w:t>
      </w:r>
    </w:p>
    <w:p w14:paraId="63613E80">
      <w:pPr>
        <w:pStyle w:val="12"/>
        <w:spacing w:line="600" w:lineRule="exact"/>
        <w:ind w:firstLine="640" w:firstLineChars="2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rPr>
        <w:t>二、事业收入：指事业单位开展专业业务活动及辅助活动所取得的收入。如：中国财政杂志社的刊物发行收入，中国注册会计师协会、中国资产评估协会、中国国债协会、中国会计学会收取的会费收入等。</w:t>
      </w:r>
    </w:p>
    <w:p w14:paraId="4DD6D958">
      <w:pPr>
        <w:pStyle w:val="12"/>
        <w:spacing w:line="600" w:lineRule="exact"/>
        <w:ind w:firstLine="640" w:firstLineChars="2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rPr>
        <w:t>三、经营收入：指事业单位在专业业务活动及其辅助活动之外开展非独立核算经营活动取得的收入。如：中国财政杂志社广告收入等。</w:t>
      </w:r>
    </w:p>
    <w:p w14:paraId="0C660984">
      <w:pPr>
        <w:pStyle w:val="12"/>
        <w:spacing w:line="600" w:lineRule="exact"/>
        <w:ind w:firstLine="640" w:firstLineChars="2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rPr>
        <w:t>四、其他收入：指除上述“财政拨款收入”、“事业收入”、“经营收入”等以外的收入。主要是按规定动用的售房收入、存款利息收入等。</w:t>
      </w:r>
    </w:p>
    <w:p w14:paraId="44753022">
      <w:pPr>
        <w:pStyle w:val="12"/>
        <w:spacing w:line="600" w:lineRule="exact"/>
        <w:ind w:firstLine="640" w:firstLineChars="2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4A52BDDE">
      <w:pPr>
        <w:pStyle w:val="12"/>
        <w:spacing w:line="600" w:lineRule="exact"/>
        <w:ind w:firstLine="640" w:firstLineChars="2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rPr>
        <w:t>六、年初结转和结余：指以前年度尚未完成、结转到本年按有关规定继续使用的资金。</w:t>
      </w:r>
    </w:p>
    <w:p w14:paraId="65C7E5A5">
      <w:pPr>
        <w:pStyle w:val="12"/>
        <w:spacing w:line="600" w:lineRule="exact"/>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七、结余分配：指事业单位按规定提取的职工福利基金、事业基金和缴纳的所得税，以及建设单位按规定应交回的基本建设竣工项目结余资金。</w:t>
      </w:r>
    </w:p>
    <w:p w14:paraId="107397A1">
      <w:pPr>
        <w:pStyle w:val="12"/>
        <w:spacing w:line="600" w:lineRule="exact"/>
        <w:ind w:firstLine="640" w:firstLineChars="2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rPr>
        <w:t>八、年末结转和结余：指本年度或以前年度预算安排、因客观条件发生变化无法按原计划实施，需要延迟到以后年度按有关规定继续使用的资金。</w:t>
      </w:r>
    </w:p>
    <w:p w14:paraId="05A75913">
      <w:pPr>
        <w:pStyle w:val="12"/>
        <w:spacing w:line="600" w:lineRule="exact"/>
        <w:ind w:firstLine="640" w:firstLineChars="2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rPr>
        <w:t>九、基本支出：指为保障机构正常运转、完成日常工作任务而发生的人员支出和公用支出。</w:t>
      </w:r>
    </w:p>
    <w:p w14:paraId="7360D234">
      <w:pPr>
        <w:pStyle w:val="12"/>
        <w:spacing w:line="600" w:lineRule="exact"/>
        <w:ind w:firstLine="640" w:firstLineChars="2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rPr>
        <w:t>十、项目支出：指在基本支出之外为完成特定行政任务和事业发展目标所发生的支出。</w:t>
      </w:r>
    </w:p>
    <w:p w14:paraId="4C59ACFD">
      <w:pPr>
        <w:pStyle w:val="12"/>
        <w:spacing w:line="600" w:lineRule="exact"/>
        <w:ind w:firstLine="640" w:firstLineChars="2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rPr>
        <w:t>十一、经营支出：指事业单位在专业业务活动及其辅助活动之外开展非独立核算经营活动发生的支出。</w:t>
      </w:r>
    </w:p>
    <w:p w14:paraId="7A8D916E">
      <w:pPr>
        <w:pStyle w:val="12"/>
        <w:spacing w:line="600" w:lineRule="exact"/>
        <w:ind w:firstLine="640" w:firstLineChars="200"/>
        <w:rPr>
          <w:rFonts w:hint="eastAsia" w:ascii="Times New Roman" w:hAnsi="Times New Roman" w:eastAsia="仿宋_GB2312" w:cs="Times New Roman"/>
          <w:color w:val="auto"/>
          <w:kern w:val="0"/>
          <w:sz w:val="32"/>
          <w:szCs w:val="32"/>
          <w:lang w:eastAsia="zh-CN"/>
        </w:rPr>
      </w:pPr>
      <w:r>
        <w:rPr>
          <w:rFonts w:hint="eastAsia" w:ascii="Times New Roman" w:hAnsi="Times New Roman" w:eastAsia="仿宋_GB2312" w:cs="Times New Roman"/>
          <w:color w:val="auto"/>
          <w:kern w:val="0"/>
          <w:sz w:val="32"/>
          <w:szCs w:val="32"/>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1AF2781">
      <w:pPr>
        <w:pStyle w:val="12"/>
        <w:spacing w:line="600" w:lineRule="exact"/>
        <w:ind w:firstLine="640" w:firstLineChars="200"/>
        <w:rPr>
          <w:rFonts w:ascii="Times New Roman" w:hAnsi="Times New Roman" w:cs="Times New Roman"/>
          <w:color w:val="auto"/>
          <w:sz w:val="72"/>
          <w:szCs w:val="72"/>
        </w:rPr>
      </w:pPr>
      <w:r>
        <w:rPr>
          <w:rFonts w:hint="eastAsia" w:ascii="Times New Roman" w:hAnsi="Times New Roman" w:eastAsia="仿宋_GB2312" w:cs="Times New Roman"/>
          <w:color w:val="auto"/>
          <w:kern w:val="0"/>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7D4D1F7">
      <w:pPr>
        <w:pStyle w:val="12"/>
        <w:jc w:val="center"/>
        <w:rPr>
          <w:rFonts w:ascii="Times New Roman" w:hAnsi="Times New Roman" w:cs="Times New Roman"/>
          <w:color w:val="auto"/>
          <w:sz w:val="72"/>
          <w:szCs w:val="72"/>
        </w:rPr>
      </w:pPr>
    </w:p>
    <w:p w14:paraId="372B6626">
      <w:pPr>
        <w:pStyle w:val="12"/>
        <w:jc w:val="both"/>
        <w:rPr>
          <w:rFonts w:ascii="Times New Roman" w:hAnsi="Times New Roman" w:cs="Times New Roman"/>
          <w:color w:val="auto"/>
          <w:sz w:val="72"/>
          <w:szCs w:val="72"/>
        </w:rPr>
      </w:pPr>
    </w:p>
    <w:p w14:paraId="5BFAB38A">
      <w:pPr>
        <w:pStyle w:val="12"/>
        <w:spacing w:line="360" w:lineRule="auto"/>
        <w:jc w:val="center"/>
        <w:rPr>
          <w:rFonts w:hint="eastAsia" w:ascii="方正小标宋简体" w:hAnsi="方正小标宋简体" w:eastAsia="方正小标宋简体" w:cs="方正小标宋简体"/>
          <w:color w:val="auto"/>
          <w:sz w:val="52"/>
          <w:szCs w:val="52"/>
        </w:rPr>
      </w:pPr>
    </w:p>
    <w:p w14:paraId="2C581CDD">
      <w:pPr>
        <w:pStyle w:val="12"/>
        <w:spacing w:line="360" w:lineRule="auto"/>
        <w:jc w:val="center"/>
        <w:rPr>
          <w:rFonts w:hint="eastAsia" w:ascii="方正小标宋简体" w:hAnsi="方正小标宋简体" w:eastAsia="方正小标宋简体" w:cs="方正小标宋简体"/>
          <w:color w:val="auto"/>
          <w:sz w:val="52"/>
          <w:szCs w:val="52"/>
        </w:rPr>
      </w:pPr>
    </w:p>
    <w:p w14:paraId="553646D0">
      <w:pPr>
        <w:pStyle w:val="12"/>
        <w:spacing w:line="360" w:lineRule="auto"/>
        <w:jc w:val="center"/>
        <w:rPr>
          <w:rFonts w:hint="eastAsia" w:ascii="方正小标宋简体" w:hAnsi="方正小标宋简体" w:eastAsia="方正小标宋简体" w:cs="方正小标宋简体"/>
          <w:color w:val="auto"/>
          <w:sz w:val="52"/>
          <w:szCs w:val="52"/>
        </w:rPr>
      </w:pPr>
    </w:p>
    <w:p w14:paraId="7F82F06A">
      <w:pPr>
        <w:pStyle w:val="12"/>
        <w:spacing w:line="360" w:lineRule="auto"/>
        <w:jc w:val="center"/>
        <w:rPr>
          <w:rFonts w:hint="eastAsia" w:ascii="方正小标宋简体" w:hAnsi="方正小标宋简体" w:eastAsia="方正小标宋简体" w:cs="方正小标宋简体"/>
          <w:color w:val="auto"/>
          <w:sz w:val="52"/>
          <w:szCs w:val="52"/>
        </w:rPr>
      </w:pPr>
    </w:p>
    <w:p w14:paraId="4D737B81">
      <w:pPr>
        <w:pStyle w:val="12"/>
        <w:spacing w:line="360" w:lineRule="auto"/>
        <w:jc w:val="center"/>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第五部分附件</w:t>
      </w:r>
    </w:p>
    <w:p w14:paraId="0BC65FE4">
      <w:pPr>
        <w:rPr>
          <w:rFonts w:ascii="Times New Roman" w:hAnsi="Times New Roman" w:cs="Times New Roman"/>
          <w:color w:val="auto"/>
          <w:sz w:val="72"/>
          <w:szCs w:val="72"/>
        </w:rPr>
      </w:pPr>
    </w:p>
    <w:p w14:paraId="4864DB44">
      <w:pPr>
        <w:pStyle w:val="12"/>
        <w:spacing w:line="600" w:lineRule="exact"/>
        <w:ind w:firstLine="640" w:firstLineChars="200"/>
        <w:rPr>
          <w:rFonts w:hint="eastAsia" w:ascii="Times New Roman" w:hAnsi="Times New Roman" w:eastAsia="仿宋_GB2312" w:cs="Times New Roman"/>
          <w:b w:val="0"/>
          <w:bCs w:val="0"/>
          <w:color w:val="auto"/>
          <w:sz w:val="32"/>
          <w:szCs w:val="32"/>
          <w:lang w:eastAsia="zh-CN"/>
        </w:rPr>
      </w:pPr>
      <w:r>
        <w:rPr>
          <w:rFonts w:ascii="Times New Roman" w:hAnsi="Times New Roman" w:eastAsia="仿宋_GB2312" w:cs="Times New Roman"/>
          <w:b/>
          <w:bCs/>
          <w:color w:val="auto"/>
          <w:sz w:val="32"/>
          <w:szCs w:val="32"/>
        </w:rPr>
        <w:t>一</w:t>
      </w:r>
      <w:r>
        <w:rPr>
          <w:rFonts w:ascii="Times New Roman" w:hAnsi="Times New Roman" w:eastAsia="仿宋_GB2312" w:cs="Times New Roman"/>
          <w:b w:val="0"/>
          <w:bCs w:val="0"/>
          <w:color w:val="auto"/>
          <w:sz w:val="32"/>
          <w:szCs w:val="32"/>
        </w:rPr>
        <w:t>、部门决算表</w:t>
      </w:r>
      <w:r>
        <w:rPr>
          <w:rFonts w:hint="eastAsia" w:ascii="Times New Roman" w:hAnsi="Times New Roman" w:eastAsia="仿宋_GB2312" w:cs="Times New Roman"/>
          <w:b w:val="0"/>
          <w:bCs w:val="0"/>
          <w:color w:val="auto"/>
          <w:sz w:val="32"/>
          <w:szCs w:val="32"/>
          <w:lang w:eastAsia="zh-CN"/>
        </w:rPr>
        <w:t>。</w:t>
      </w:r>
    </w:p>
    <w:p w14:paraId="29FD994F">
      <w:pPr>
        <w:pStyle w:val="12"/>
        <w:spacing w:line="60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b w:val="0"/>
          <w:bCs w:val="0"/>
          <w:color w:val="auto"/>
          <w:sz w:val="32"/>
          <w:szCs w:val="32"/>
          <w:lang w:val="en-US" w:eastAsia="zh-CN"/>
        </w:rPr>
        <w:t>二</w:t>
      </w:r>
      <w:r>
        <w:rPr>
          <w:rFonts w:ascii="Times New Roman" w:hAnsi="Times New Roman" w:eastAsia="仿宋_GB2312" w:cs="Times New Roman"/>
          <w:b w:val="0"/>
          <w:bCs w:val="0"/>
          <w:color w:val="auto"/>
          <w:sz w:val="32"/>
          <w:szCs w:val="32"/>
        </w:rPr>
        <w:t>、</w:t>
      </w:r>
      <w:r>
        <w:rPr>
          <w:rFonts w:hint="eastAsia" w:ascii="Times New Roman" w:hAnsi="Times New Roman" w:eastAsia="仿宋_GB2312" w:cs="Times New Roman"/>
          <w:color w:val="auto"/>
          <w:sz w:val="32"/>
          <w:szCs w:val="32"/>
        </w:rPr>
        <w:t>中共沅江市委网信办2024年度整体支出绩效评价报告</w:t>
      </w:r>
      <w:r>
        <w:rPr>
          <w:rFonts w:ascii="Times New Roman" w:hAnsi="Times New Roman" w:eastAsia="仿宋_GB2312" w:cs="Times New Roman"/>
          <w:color w:val="auto"/>
          <w:sz w:val="32"/>
          <w:szCs w:val="32"/>
        </w:rPr>
        <w:t>。</w:t>
      </w:r>
    </w:p>
    <w:p w14:paraId="46D9A419">
      <w:pPr>
        <w:pStyle w:val="12"/>
        <w:spacing w:line="600" w:lineRule="exact"/>
        <w:ind w:firstLine="640" w:firstLineChars="200"/>
        <w:rPr>
          <w:rFonts w:ascii="Times New Roman" w:hAnsi="Times New Roman" w:eastAsia="仿宋_GB2312" w:cs="Times New Roman"/>
          <w:color w:val="auto"/>
          <w:sz w:val="32"/>
          <w:szCs w:val="32"/>
        </w:rPr>
      </w:pPr>
    </w:p>
    <w:p w14:paraId="5781B20F">
      <w:pPr>
        <w:pStyle w:val="12"/>
        <w:jc w:val="center"/>
        <w:rPr>
          <w:rFonts w:ascii="Times New Roman" w:hAnsi="Times New Roman" w:cs="Times New Roman"/>
          <w:color w:val="auto"/>
          <w:sz w:val="72"/>
          <w:szCs w:val="72"/>
        </w:rPr>
      </w:pPr>
    </w:p>
    <w:p w14:paraId="64331E5E">
      <w:pPr>
        <w:pStyle w:val="12"/>
        <w:jc w:val="center"/>
        <w:rPr>
          <w:rFonts w:ascii="Times New Roman" w:hAnsi="Times New Roman" w:cs="Times New Roman"/>
          <w:color w:val="auto"/>
          <w:sz w:val="72"/>
          <w:szCs w:val="72"/>
        </w:rPr>
      </w:pPr>
    </w:p>
    <w:p w14:paraId="48E284FD">
      <w:pPr>
        <w:jc w:val="left"/>
        <w:rPr>
          <w:rFonts w:ascii="Times New Roman" w:hAnsi="Times New Roman" w:cs="Times New Roman"/>
          <w:color w:val="auto"/>
          <w:kern w:val="0"/>
          <w:sz w:val="32"/>
          <w:szCs w:val="32"/>
        </w:rPr>
      </w:pPr>
    </w:p>
    <w:sectPr>
      <w:pgSz w:w="11906" w:h="16838"/>
      <w:pgMar w:top="1417" w:right="1588" w:bottom="1417" w:left="1588"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altName w:val="方正小标宋简体"/>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64E0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BF0C9">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7319A">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5E488">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F5E488">
                    <w:pPr>
                      <w:pStyle w:val="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0A0F"/>
    <w:rsid w:val="00FF5CD6"/>
    <w:rsid w:val="0286060F"/>
    <w:rsid w:val="02D14525"/>
    <w:rsid w:val="043D4169"/>
    <w:rsid w:val="071B4364"/>
    <w:rsid w:val="07F1190D"/>
    <w:rsid w:val="08E8715E"/>
    <w:rsid w:val="09706383"/>
    <w:rsid w:val="0A51481B"/>
    <w:rsid w:val="0B0D77B0"/>
    <w:rsid w:val="0BB32AFE"/>
    <w:rsid w:val="0BEA0098"/>
    <w:rsid w:val="0C013541"/>
    <w:rsid w:val="0C2351EB"/>
    <w:rsid w:val="0CF74D52"/>
    <w:rsid w:val="0D3B27C3"/>
    <w:rsid w:val="10175E5C"/>
    <w:rsid w:val="10895DA5"/>
    <w:rsid w:val="12286C59"/>
    <w:rsid w:val="16524615"/>
    <w:rsid w:val="166C09FE"/>
    <w:rsid w:val="19582320"/>
    <w:rsid w:val="195A7F25"/>
    <w:rsid w:val="199A0D0F"/>
    <w:rsid w:val="1D97DEFF"/>
    <w:rsid w:val="1DFF72E5"/>
    <w:rsid w:val="1E8A4539"/>
    <w:rsid w:val="1EFC6F07"/>
    <w:rsid w:val="1F360DD6"/>
    <w:rsid w:val="2004043A"/>
    <w:rsid w:val="200F41A6"/>
    <w:rsid w:val="20780352"/>
    <w:rsid w:val="21BB2B99"/>
    <w:rsid w:val="21E47391"/>
    <w:rsid w:val="22A144DF"/>
    <w:rsid w:val="231E732C"/>
    <w:rsid w:val="242A690E"/>
    <w:rsid w:val="26274D25"/>
    <w:rsid w:val="277B2154"/>
    <w:rsid w:val="27865F67"/>
    <w:rsid w:val="281E73DF"/>
    <w:rsid w:val="2A431318"/>
    <w:rsid w:val="2F8008D4"/>
    <w:rsid w:val="2FDF85B8"/>
    <w:rsid w:val="2FFFEE04"/>
    <w:rsid w:val="331F4B13"/>
    <w:rsid w:val="34DF85B0"/>
    <w:rsid w:val="36254D15"/>
    <w:rsid w:val="376A257E"/>
    <w:rsid w:val="37A62DA4"/>
    <w:rsid w:val="384060B0"/>
    <w:rsid w:val="398133BC"/>
    <w:rsid w:val="3B0433FE"/>
    <w:rsid w:val="3B8F36BC"/>
    <w:rsid w:val="3DE35197"/>
    <w:rsid w:val="3DF82607"/>
    <w:rsid w:val="3F7C79BF"/>
    <w:rsid w:val="3FFE0D0A"/>
    <w:rsid w:val="41BE5A2A"/>
    <w:rsid w:val="44053EC8"/>
    <w:rsid w:val="444D481C"/>
    <w:rsid w:val="44E95F91"/>
    <w:rsid w:val="46F84637"/>
    <w:rsid w:val="47824475"/>
    <w:rsid w:val="47DE4E3B"/>
    <w:rsid w:val="491FF225"/>
    <w:rsid w:val="498270B3"/>
    <w:rsid w:val="4A8F075E"/>
    <w:rsid w:val="4AE97B73"/>
    <w:rsid w:val="4B423A85"/>
    <w:rsid w:val="4BE13907"/>
    <w:rsid w:val="4BED3F1E"/>
    <w:rsid w:val="4C1F0879"/>
    <w:rsid w:val="4C871DB8"/>
    <w:rsid w:val="4CE30FB8"/>
    <w:rsid w:val="4DEA0065"/>
    <w:rsid w:val="4E8E31EC"/>
    <w:rsid w:val="4FFD214C"/>
    <w:rsid w:val="51316796"/>
    <w:rsid w:val="51CC1157"/>
    <w:rsid w:val="52784DDC"/>
    <w:rsid w:val="53836643"/>
    <w:rsid w:val="54EF6649"/>
    <w:rsid w:val="55823A64"/>
    <w:rsid w:val="55C5704D"/>
    <w:rsid w:val="57451B41"/>
    <w:rsid w:val="5777D4F5"/>
    <w:rsid w:val="59570D64"/>
    <w:rsid w:val="59DD8326"/>
    <w:rsid w:val="5A991B1D"/>
    <w:rsid w:val="5B6B4CDA"/>
    <w:rsid w:val="5DEF592A"/>
    <w:rsid w:val="5E556A51"/>
    <w:rsid w:val="5EB4486C"/>
    <w:rsid w:val="5F20072A"/>
    <w:rsid w:val="5F463D6D"/>
    <w:rsid w:val="5FC6BB1E"/>
    <w:rsid w:val="5FD736CA"/>
    <w:rsid w:val="5FE036E7"/>
    <w:rsid w:val="5FF720F1"/>
    <w:rsid w:val="60EC4488"/>
    <w:rsid w:val="61CC4401"/>
    <w:rsid w:val="62CD07FB"/>
    <w:rsid w:val="62F55E9B"/>
    <w:rsid w:val="63CF2051"/>
    <w:rsid w:val="64947B20"/>
    <w:rsid w:val="652350A7"/>
    <w:rsid w:val="65A166C8"/>
    <w:rsid w:val="661114B5"/>
    <w:rsid w:val="66E17055"/>
    <w:rsid w:val="67FF5C0B"/>
    <w:rsid w:val="68F61733"/>
    <w:rsid w:val="690C1F68"/>
    <w:rsid w:val="69C001D4"/>
    <w:rsid w:val="6A220F1A"/>
    <w:rsid w:val="6B2F5A21"/>
    <w:rsid w:val="6E066998"/>
    <w:rsid w:val="6E540211"/>
    <w:rsid w:val="6E95728B"/>
    <w:rsid w:val="6EFC0924"/>
    <w:rsid w:val="6FB74722"/>
    <w:rsid w:val="6FEF8B7E"/>
    <w:rsid w:val="712832BA"/>
    <w:rsid w:val="71A6591B"/>
    <w:rsid w:val="71DB1D5C"/>
    <w:rsid w:val="72BD4E64"/>
    <w:rsid w:val="72FB7C35"/>
    <w:rsid w:val="73280316"/>
    <w:rsid w:val="737D59BA"/>
    <w:rsid w:val="771D60FB"/>
    <w:rsid w:val="77C37683"/>
    <w:rsid w:val="79443502"/>
    <w:rsid w:val="794C15D4"/>
    <w:rsid w:val="79D19834"/>
    <w:rsid w:val="79FF515B"/>
    <w:rsid w:val="7AD15ADC"/>
    <w:rsid w:val="7CA95D92"/>
    <w:rsid w:val="7D570079"/>
    <w:rsid w:val="7E9E1962"/>
    <w:rsid w:val="7E9F11B4"/>
    <w:rsid w:val="7F37EC1E"/>
    <w:rsid w:val="7F7DCD9D"/>
    <w:rsid w:val="7F970A6F"/>
    <w:rsid w:val="7F9E036E"/>
    <w:rsid w:val="7FC1FFF3"/>
    <w:rsid w:val="7FC69637"/>
    <w:rsid w:val="7FCB2546"/>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4529</Words>
  <Characters>4932</Characters>
  <Lines>69</Lines>
  <Paragraphs>19</Paragraphs>
  <TotalTime>10</TotalTime>
  <ScaleCrop>false</ScaleCrop>
  <LinksUpToDate>false</LinksUpToDate>
  <CharactersWithSpaces>4937</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飞．·</cp:lastModifiedBy>
  <cp:lastPrinted>2024-08-08T18:20:00Z</cp:lastPrinted>
  <dcterms:modified xsi:type="dcterms:W3CDTF">2025-10-14T01:54:04Z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AD7CA868FFDE4A10B7FF81C387E9B5E6_13</vt:lpwstr>
  </property>
  <property fmtid="{D5CDD505-2E9C-101B-9397-08002B2CF9AE}" pid="4" name="KSOTemplateDocerSaveRecord">
    <vt:lpwstr>eyJoZGlkIjoiOWJjMTU5OWExZjMwODgyMGRlZDAxMmM5OWIwYTRiOTciLCJ1c2VySWQiOiIzODI4OTEyMTMifQ==</vt:lpwstr>
  </property>
</Properties>
</file>