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20" w:lineRule="exact"/>
        <w:ind w:firstLine="481" w:firstLineChars="100"/>
        <w:rPr>
          <w:rFonts w:ascii="仿宋" w:hAnsi="仿宋" w:eastAsia="仿宋" w:cs="宋体"/>
          <w:b/>
          <w:bCs/>
          <w:sz w:val="48"/>
          <w:szCs w:val="48"/>
        </w:rPr>
      </w:pPr>
      <w:bookmarkStart w:id="0" w:name="YS060101"/>
      <w:r>
        <w:rPr>
          <w:rFonts w:hint="eastAsia" w:ascii="仿宋" w:hAnsi="仿宋" w:eastAsia="仿宋" w:cs="宋体"/>
          <w:b/>
          <w:bCs/>
          <w:sz w:val="48"/>
          <w:szCs w:val="48"/>
        </w:rPr>
        <w:t>2022年度城管大队决算公开报告</w:t>
      </w:r>
    </w:p>
    <w:p>
      <w:pPr>
        <w:snapToGrid w:val="0"/>
        <w:spacing w:line="520" w:lineRule="exact"/>
        <w:ind w:firstLine="640" w:firstLineChars="200"/>
        <w:jc w:val="center"/>
        <w:rPr>
          <w:rFonts w:ascii="仿宋" w:hAnsi="仿宋" w:eastAsia="仿宋" w:cs="宋体"/>
          <w:sz w:val="32"/>
          <w:szCs w:val="32"/>
        </w:rPr>
      </w:pPr>
    </w:p>
    <w:p>
      <w:pPr>
        <w:snapToGrid w:val="0"/>
        <w:spacing w:line="520" w:lineRule="exact"/>
        <w:ind w:firstLine="640" w:firstLineChars="200"/>
        <w:rPr>
          <w:rFonts w:ascii="仿宋" w:hAnsi="仿宋" w:eastAsia="仿宋" w:cs="宋体"/>
          <w:sz w:val="32"/>
          <w:szCs w:val="32"/>
        </w:rPr>
      </w:pPr>
      <w:r>
        <w:rPr>
          <w:rFonts w:hint="eastAsia" w:ascii="仿宋" w:hAnsi="仿宋" w:eastAsia="仿宋" w:cs="宋体"/>
          <w:sz w:val="32"/>
          <w:szCs w:val="32"/>
        </w:rPr>
        <w:t>一、单位情况</w:t>
      </w:r>
    </w:p>
    <w:bookmarkEnd w:id="0"/>
    <w:p>
      <w:pPr>
        <w:snapToGrid w:val="0"/>
        <w:spacing w:line="520" w:lineRule="exact"/>
        <w:ind w:firstLine="642" w:firstLineChars="200"/>
        <w:rPr>
          <w:rFonts w:ascii="仿宋" w:hAnsi="仿宋" w:eastAsia="仿宋" w:cs="宋体"/>
          <w:b/>
          <w:sz w:val="32"/>
          <w:szCs w:val="32"/>
        </w:rPr>
      </w:pPr>
      <w:r>
        <w:rPr>
          <w:rFonts w:hint="eastAsia" w:ascii="仿宋" w:hAnsi="仿宋" w:eastAsia="仿宋" w:cs="宋体"/>
          <w:b/>
          <w:sz w:val="32"/>
          <w:szCs w:val="32"/>
        </w:rPr>
        <w:t>（一）基本情况。</w:t>
      </w:r>
    </w:p>
    <w:p>
      <w:pPr>
        <w:spacing w:line="540" w:lineRule="exact"/>
        <w:ind w:firstLine="640" w:firstLineChars="200"/>
        <w:rPr>
          <w:rFonts w:ascii="仿宋" w:hAnsi="仿宋" w:eastAsia="仿宋" w:cs="宋体"/>
          <w:sz w:val="32"/>
          <w:szCs w:val="32"/>
        </w:rPr>
      </w:pPr>
      <w:r>
        <w:rPr>
          <w:rFonts w:hint="eastAsia" w:ascii="仿宋" w:hAnsi="仿宋" w:eastAsia="仿宋" w:cs="宋体"/>
          <w:sz w:val="32"/>
          <w:szCs w:val="32"/>
        </w:rPr>
        <w:t xml:space="preserve"> 一、</w:t>
      </w:r>
      <w:r>
        <w:rPr>
          <w:rFonts w:hint="eastAsia" w:ascii="仿宋" w:hAnsi="仿宋" w:eastAsia="仿宋" w:cs="宋体"/>
          <w:sz w:val="32"/>
          <w:szCs w:val="32"/>
        </w:rPr>
        <w:tab/>
      </w:r>
      <w:r>
        <w:rPr>
          <w:rFonts w:hint="eastAsia" w:ascii="仿宋" w:hAnsi="仿宋" w:eastAsia="仿宋" w:cs="宋体"/>
          <w:sz w:val="32"/>
          <w:szCs w:val="32"/>
        </w:rPr>
        <w:t>部门职责</w:t>
      </w:r>
    </w:p>
    <w:p>
      <w:pPr>
        <w:spacing w:line="540" w:lineRule="exact"/>
        <w:ind w:firstLine="640" w:firstLineChars="200"/>
        <w:rPr>
          <w:rFonts w:ascii="仿宋" w:hAnsi="仿宋" w:eastAsia="仿宋" w:cs="宋体"/>
          <w:sz w:val="32"/>
          <w:szCs w:val="32"/>
        </w:rPr>
      </w:pPr>
      <w:r>
        <w:rPr>
          <w:rFonts w:hint="eastAsia" w:ascii="仿宋" w:hAnsi="仿宋" w:eastAsia="仿宋" w:cs="宋体"/>
          <w:sz w:val="32"/>
          <w:szCs w:val="32"/>
        </w:rPr>
        <w:t>（一）负责市区市容市貌的监管﹙流动摊贩、出店经营、马路市场、乱搭乱建等﹚;</w:t>
      </w:r>
    </w:p>
    <w:p>
      <w:pPr>
        <w:spacing w:line="540" w:lineRule="exact"/>
        <w:ind w:firstLine="640" w:firstLineChars="200"/>
        <w:rPr>
          <w:rFonts w:ascii="仿宋" w:hAnsi="仿宋" w:eastAsia="仿宋" w:cs="宋体"/>
          <w:sz w:val="32"/>
          <w:szCs w:val="32"/>
        </w:rPr>
      </w:pPr>
      <w:r>
        <w:rPr>
          <w:rFonts w:hint="eastAsia" w:ascii="仿宋" w:hAnsi="仿宋" w:eastAsia="仿宋" w:cs="宋体"/>
          <w:sz w:val="32"/>
          <w:szCs w:val="32"/>
        </w:rPr>
        <w:t>（二）负责市区户外广告、夜市漫酒的监管；</w:t>
      </w:r>
    </w:p>
    <w:p>
      <w:pPr>
        <w:spacing w:line="540" w:lineRule="exact"/>
        <w:ind w:firstLine="640" w:firstLineChars="200"/>
        <w:rPr>
          <w:rFonts w:ascii="仿宋" w:hAnsi="仿宋" w:eastAsia="仿宋" w:cs="宋体"/>
          <w:sz w:val="32"/>
          <w:szCs w:val="32"/>
        </w:rPr>
      </w:pPr>
      <w:r>
        <w:rPr>
          <w:rFonts w:hint="eastAsia" w:ascii="仿宋" w:hAnsi="仿宋" w:eastAsia="仿宋" w:cs="宋体"/>
          <w:sz w:val="32"/>
          <w:szCs w:val="32"/>
        </w:rPr>
        <w:t>（三）负责市区城市“牛皮癣”的监管、清理和整治;</w:t>
      </w:r>
    </w:p>
    <w:p>
      <w:pPr>
        <w:spacing w:line="540" w:lineRule="exact"/>
        <w:ind w:firstLine="640" w:firstLineChars="200"/>
        <w:rPr>
          <w:rFonts w:ascii="仿宋" w:hAnsi="仿宋" w:eastAsia="仿宋" w:cs="宋体"/>
          <w:sz w:val="32"/>
          <w:szCs w:val="32"/>
        </w:rPr>
      </w:pPr>
      <w:r>
        <w:rPr>
          <w:rFonts w:hint="eastAsia" w:ascii="仿宋" w:hAnsi="仿宋" w:eastAsia="仿宋" w:cs="宋体"/>
          <w:sz w:val="32"/>
          <w:szCs w:val="32"/>
        </w:rPr>
        <w:t>（四）负责全市燃气、液化气的安全监管和整治;</w:t>
      </w:r>
    </w:p>
    <w:p>
      <w:pPr>
        <w:spacing w:line="540" w:lineRule="exact"/>
        <w:ind w:firstLine="640" w:firstLineChars="200"/>
        <w:rPr>
          <w:rFonts w:ascii="仿宋" w:hAnsi="仿宋" w:eastAsia="仿宋" w:cs="宋体"/>
          <w:sz w:val="32"/>
          <w:szCs w:val="32"/>
        </w:rPr>
      </w:pPr>
      <w:r>
        <w:rPr>
          <w:rFonts w:hint="eastAsia" w:ascii="仿宋" w:hAnsi="仿宋" w:eastAsia="仿宋" w:cs="宋体"/>
          <w:sz w:val="32"/>
          <w:szCs w:val="32"/>
        </w:rPr>
        <w:t>（五）负责经营性餐饮业油烟污染的监管和整治。</w:t>
      </w:r>
    </w:p>
    <w:p>
      <w:pPr>
        <w:spacing w:line="540" w:lineRule="exact"/>
        <w:ind w:firstLine="640" w:firstLineChars="200"/>
        <w:rPr>
          <w:rFonts w:ascii="仿宋" w:hAnsi="仿宋" w:eastAsia="仿宋" w:cs="宋体"/>
          <w:sz w:val="32"/>
          <w:szCs w:val="32"/>
        </w:rPr>
      </w:pPr>
      <w:r>
        <w:rPr>
          <w:rFonts w:hint="eastAsia" w:ascii="仿宋" w:hAnsi="仿宋" w:eastAsia="仿宋" w:cs="宋体"/>
          <w:sz w:val="32"/>
          <w:szCs w:val="32"/>
        </w:rPr>
        <w:t>二、机构设置及决算单位构成</w:t>
      </w:r>
    </w:p>
    <w:p>
      <w:pPr>
        <w:spacing w:line="540" w:lineRule="exact"/>
        <w:ind w:firstLine="640" w:firstLineChars="200"/>
        <w:rPr>
          <w:rFonts w:ascii="仿宋" w:hAnsi="仿宋" w:eastAsia="仿宋" w:cs="宋体"/>
          <w:sz w:val="32"/>
          <w:szCs w:val="32"/>
        </w:rPr>
      </w:pPr>
      <w:r>
        <w:rPr>
          <w:rFonts w:hint="eastAsia" w:ascii="仿宋" w:hAnsi="仿宋" w:eastAsia="仿宋" w:cs="宋体"/>
          <w:sz w:val="32"/>
          <w:szCs w:val="32"/>
        </w:rPr>
        <w:t>（一）内设机构设置。</w:t>
      </w:r>
    </w:p>
    <w:p>
      <w:pPr>
        <w:spacing w:line="540" w:lineRule="exact"/>
        <w:ind w:firstLine="640" w:firstLineChars="200"/>
        <w:rPr>
          <w:rFonts w:ascii="仿宋" w:hAnsi="仿宋" w:eastAsia="仿宋" w:cs="宋体"/>
          <w:sz w:val="32"/>
          <w:szCs w:val="32"/>
        </w:rPr>
      </w:pPr>
      <w:r>
        <w:rPr>
          <w:rFonts w:hint="eastAsia" w:ascii="仿宋" w:hAnsi="仿宋" w:eastAsia="仿宋" w:cs="宋体"/>
          <w:sz w:val="32"/>
          <w:szCs w:val="32"/>
        </w:rPr>
        <w:t>沅江市城市建设管理监察大队系城市管理和综合执法局下属副科级参公事业单位，内设股室11个：办公室、财务室、监察一、二、三、四、五中队、燃气管理办、油烟管理办、广告机动中队、处罚中心。</w:t>
      </w:r>
    </w:p>
    <w:p>
      <w:pPr>
        <w:snapToGrid w:val="0"/>
        <w:spacing w:line="520" w:lineRule="exact"/>
        <w:ind w:firstLine="640" w:firstLineChars="200"/>
        <w:rPr>
          <w:rFonts w:ascii="仿宋" w:hAnsi="仿宋" w:eastAsia="仿宋" w:cs="宋体"/>
          <w:sz w:val="32"/>
          <w:szCs w:val="32"/>
        </w:rPr>
      </w:pPr>
      <w:r>
        <w:rPr>
          <w:rFonts w:hint="eastAsia" w:ascii="仿宋" w:hAnsi="仿宋" w:eastAsia="仿宋" w:cs="宋体"/>
          <w:sz w:val="32"/>
          <w:szCs w:val="32"/>
        </w:rPr>
        <w:t>3．人员情况</w:t>
      </w:r>
    </w:p>
    <w:p>
      <w:pPr>
        <w:snapToGrid w:val="0"/>
        <w:spacing w:line="520" w:lineRule="exact"/>
        <w:ind w:firstLine="640" w:firstLineChars="200"/>
        <w:rPr>
          <w:rFonts w:ascii="仿宋" w:hAnsi="仿宋" w:eastAsia="仿宋" w:cs="宋体"/>
          <w:sz w:val="32"/>
          <w:szCs w:val="32"/>
        </w:rPr>
      </w:pPr>
      <w:r>
        <w:rPr>
          <w:rFonts w:hint="eastAsia" w:ascii="仿宋" w:hAnsi="仿宋" w:eastAsia="仿宋" w:cs="宋体"/>
          <w:sz w:val="32"/>
          <w:szCs w:val="32"/>
        </w:rPr>
        <w:t>大队现有干职工81人，其中在职人员74人，退休人员7人。另有协管员35人。</w:t>
      </w:r>
    </w:p>
    <w:p>
      <w:pPr>
        <w:snapToGrid w:val="0"/>
        <w:spacing w:line="520" w:lineRule="exact"/>
        <w:ind w:firstLine="642" w:firstLineChars="200"/>
        <w:rPr>
          <w:rFonts w:ascii="仿宋" w:hAnsi="仿宋" w:eastAsia="仿宋" w:cs="宋体"/>
          <w:b/>
          <w:sz w:val="32"/>
          <w:szCs w:val="32"/>
        </w:rPr>
      </w:pPr>
      <w:r>
        <w:rPr>
          <w:rFonts w:hint="eastAsia" w:ascii="仿宋" w:hAnsi="仿宋" w:eastAsia="仿宋" w:cs="宋体"/>
          <w:b/>
          <w:sz w:val="32"/>
          <w:szCs w:val="32"/>
        </w:rPr>
        <w:t>（二）当年取得的主要事业成效。</w:t>
      </w:r>
    </w:p>
    <w:p>
      <w:pPr>
        <w:snapToGrid w:val="0"/>
        <w:spacing w:line="520" w:lineRule="exact"/>
        <w:ind w:firstLine="640" w:firstLineChars="200"/>
        <w:rPr>
          <w:rFonts w:ascii="仿宋" w:hAnsi="仿宋" w:eastAsia="仿宋" w:cs="宋体"/>
          <w:sz w:val="32"/>
          <w:szCs w:val="32"/>
        </w:rPr>
      </w:pPr>
      <w:bookmarkStart w:id="1" w:name="YS060102"/>
      <w:r>
        <w:rPr>
          <w:rFonts w:hint="eastAsia" w:ascii="仿宋" w:hAnsi="仿宋" w:eastAsia="仿宋" w:cs="宋体"/>
          <w:sz w:val="32"/>
          <w:szCs w:val="32"/>
        </w:rPr>
        <w:t xml:space="preserve">  2022年，在市委、市政府和上级主管局的正确领导下，大队上下团结一心，顽强拼搏，树立城市管理执法队伍良好形象，继续深化开展“强基础、转作风、树形象”专项行动，圆满完成了上级交办的各项工作任务，取得了辉煌的成绩，现将大队2022年工作总结如下：</w:t>
      </w:r>
    </w:p>
    <w:p>
      <w:pPr>
        <w:snapToGrid w:val="0"/>
        <w:spacing w:line="520" w:lineRule="exact"/>
        <w:ind w:firstLine="640" w:firstLineChars="200"/>
        <w:rPr>
          <w:rFonts w:ascii="仿宋" w:hAnsi="仿宋" w:eastAsia="仿宋" w:cs="宋体"/>
          <w:sz w:val="32"/>
          <w:szCs w:val="32"/>
        </w:rPr>
      </w:pPr>
      <w:r>
        <w:rPr>
          <w:rFonts w:hint="eastAsia" w:ascii="仿宋" w:hAnsi="仿宋" w:eastAsia="仿宋" w:cs="宋体"/>
          <w:sz w:val="32"/>
          <w:szCs w:val="32"/>
        </w:rPr>
        <w:t>一、关于加强党的建设方面</w:t>
      </w:r>
    </w:p>
    <w:p>
      <w:pPr>
        <w:snapToGrid w:val="0"/>
        <w:spacing w:line="520" w:lineRule="exact"/>
        <w:ind w:firstLine="640" w:firstLineChars="200"/>
        <w:rPr>
          <w:rFonts w:ascii="仿宋" w:hAnsi="仿宋" w:eastAsia="仿宋" w:cs="宋体"/>
          <w:sz w:val="32"/>
          <w:szCs w:val="32"/>
        </w:rPr>
      </w:pPr>
      <w:r>
        <w:rPr>
          <w:rFonts w:hint="eastAsia" w:ascii="仿宋" w:hAnsi="仿宋" w:eastAsia="仿宋" w:cs="宋体"/>
          <w:sz w:val="32"/>
          <w:szCs w:val="32"/>
        </w:rPr>
        <w:t xml:space="preserve">（一）众志成城，防控疫情。 </w:t>
      </w:r>
    </w:p>
    <w:p>
      <w:pPr>
        <w:snapToGrid w:val="0"/>
        <w:spacing w:line="520" w:lineRule="exact"/>
        <w:ind w:firstLine="640" w:firstLineChars="200"/>
        <w:rPr>
          <w:rFonts w:ascii="仿宋" w:hAnsi="仿宋" w:eastAsia="仿宋" w:cs="宋体"/>
          <w:sz w:val="32"/>
          <w:szCs w:val="32"/>
        </w:rPr>
      </w:pPr>
      <w:r>
        <w:rPr>
          <w:rFonts w:hint="eastAsia" w:ascii="仿宋" w:hAnsi="仿宋" w:eastAsia="仿宋" w:cs="宋体"/>
          <w:sz w:val="32"/>
          <w:szCs w:val="32"/>
        </w:rPr>
        <w:t>2022年新冠疫情期间，大队充分发挥党组织的战斗堡垒作用，全力战“疫”，安排人员对疫情防控点进行值守，要求各中队全力配合开展疫情防治入户摸排等工作；组建党员干部，下沉到市区各疫情防控点开展志愿服务，构筑坚实的疫情防线。</w:t>
      </w:r>
    </w:p>
    <w:p>
      <w:pPr>
        <w:snapToGrid w:val="0"/>
        <w:spacing w:line="520" w:lineRule="exact"/>
        <w:ind w:firstLine="640" w:firstLineChars="200"/>
        <w:rPr>
          <w:rFonts w:ascii="仿宋" w:hAnsi="仿宋" w:eastAsia="仿宋" w:cs="宋体"/>
          <w:sz w:val="32"/>
          <w:szCs w:val="32"/>
        </w:rPr>
      </w:pPr>
      <w:r>
        <w:rPr>
          <w:rFonts w:hint="eastAsia" w:ascii="仿宋" w:hAnsi="仿宋" w:eastAsia="仿宋" w:cs="宋体"/>
          <w:sz w:val="32"/>
          <w:szCs w:val="32"/>
        </w:rPr>
        <w:t>（二）开展志愿服务。我大队通过集中学习、自主学习、党课教育、专题学习会等形式，深入学习贯彻习近平新时代中国特色社会主义思想。同时结合“不忘初心</w:t>
      </w:r>
      <w:r>
        <w:rPr>
          <w:rFonts w:hint="eastAsia" w:ascii="仿宋" w:hAnsi="仿宋" w:eastAsia="仿宋" w:cs="宋体"/>
          <w:sz w:val="32"/>
          <w:szCs w:val="32"/>
          <w:lang w:eastAsia="zh-CN"/>
        </w:rPr>
        <w:t>、</w:t>
      </w:r>
      <w:r>
        <w:rPr>
          <w:rFonts w:hint="eastAsia" w:ascii="仿宋" w:hAnsi="仿宋" w:eastAsia="仿宋" w:cs="宋体"/>
          <w:sz w:val="32"/>
          <w:szCs w:val="32"/>
        </w:rPr>
        <w:t>牢记使命”主题教育，深入开展志愿服务活动。</w:t>
      </w:r>
    </w:p>
    <w:p>
      <w:pPr>
        <w:snapToGrid w:val="0"/>
        <w:spacing w:line="520" w:lineRule="exact"/>
        <w:ind w:firstLine="640" w:firstLineChars="200"/>
        <w:rPr>
          <w:rFonts w:ascii="仿宋" w:hAnsi="仿宋" w:eastAsia="仿宋" w:cs="宋体"/>
          <w:sz w:val="32"/>
          <w:szCs w:val="32"/>
        </w:rPr>
      </w:pPr>
      <w:r>
        <w:rPr>
          <w:rFonts w:hint="eastAsia" w:ascii="仿宋" w:hAnsi="仿宋" w:eastAsia="仿宋" w:cs="宋体"/>
          <w:sz w:val="32"/>
          <w:szCs w:val="32"/>
        </w:rPr>
        <w:t>（三）抓廉政教育。制定廉政风险防控工作实施方案，签订廉政风险识别和防控表，把推进廉政风险防控管理作为一项政治任务列入重要议事日程，教育大队干部职工要深刻吸取教训，以典型案例为鉴，绷紧防腐拒变的弦。</w:t>
      </w:r>
    </w:p>
    <w:p>
      <w:pPr>
        <w:snapToGrid w:val="0"/>
        <w:spacing w:line="520" w:lineRule="exact"/>
        <w:ind w:firstLine="640" w:firstLineChars="200"/>
        <w:rPr>
          <w:rFonts w:ascii="仿宋" w:hAnsi="仿宋" w:eastAsia="仿宋" w:cs="宋体"/>
          <w:sz w:val="32"/>
          <w:szCs w:val="32"/>
        </w:rPr>
      </w:pPr>
      <w:r>
        <w:rPr>
          <w:rFonts w:hint="eastAsia" w:ascii="仿宋" w:hAnsi="仿宋" w:eastAsia="仿宋" w:cs="宋体"/>
          <w:sz w:val="32"/>
          <w:szCs w:val="32"/>
        </w:rPr>
        <w:t>二、关于强化队伍能力建设方面</w:t>
      </w:r>
      <w:bookmarkStart w:id="5" w:name="_GoBack"/>
      <w:bookmarkEnd w:id="5"/>
    </w:p>
    <w:p>
      <w:pPr>
        <w:snapToGrid w:val="0"/>
        <w:spacing w:line="520" w:lineRule="exact"/>
        <w:ind w:firstLine="640" w:firstLineChars="200"/>
        <w:rPr>
          <w:rFonts w:ascii="仿宋" w:hAnsi="仿宋" w:eastAsia="仿宋" w:cs="宋体"/>
          <w:sz w:val="32"/>
          <w:szCs w:val="32"/>
        </w:rPr>
      </w:pPr>
      <w:r>
        <w:rPr>
          <w:rFonts w:hint="eastAsia" w:ascii="仿宋" w:hAnsi="仿宋" w:eastAsia="仿宋" w:cs="宋体"/>
          <w:sz w:val="32"/>
          <w:szCs w:val="32"/>
        </w:rPr>
        <w:t>（一）提高队伍整体素质和综合执法能力。一是开展标准军事化训练、执法技能学习培训等举措，不断提高队伍整体素质，提升执法队伍业务水平和应急处置能力。二是建立健全我大队应急处置体系，保证上情下达、下情上报渠道通畅，确保上级领导及主管部门的指示、指令的落实和群众投诉的及时受理。</w:t>
      </w:r>
    </w:p>
    <w:p>
      <w:pPr>
        <w:snapToGrid w:val="0"/>
        <w:spacing w:line="520" w:lineRule="exact"/>
        <w:ind w:firstLine="640" w:firstLineChars="200"/>
        <w:rPr>
          <w:rFonts w:ascii="仿宋" w:hAnsi="仿宋" w:eastAsia="仿宋" w:cs="宋体"/>
          <w:sz w:val="32"/>
          <w:szCs w:val="32"/>
        </w:rPr>
      </w:pPr>
      <w:r>
        <w:rPr>
          <w:rFonts w:hint="eastAsia" w:ascii="仿宋" w:hAnsi="仿宋" w:eastAsia="仿宋" w:cs="宋体"/>
          <w:sz w:val="32"/>
          <w:szCs w:val="32"/>
        </w:rPr>
        <w:t>（二）强化法制观念，规范执法行为。一是逐步建立健全各项制度，进一步规范行政执法程序。二是将普法学习纳入大队全年政治教育计划，开展法律培训活动，通过各项法律法规和考试，提高了执法人员依法行政意识，增强了执法人员的法治观念、法律素养，为日常执法工作提供保障。三是积极开展执法人员业务培训工作，建立执法人员年度常态化培训制度。</w:t>
      </w:r>
    </w:p>
    <w:p>
      <w:pPr>
        <w:snapToGrid w:val="0"/>
        <w:spacing w:line="520" w:lineRule="exact"/>
        <w:ind w:firstLine="640" w:firstLineChars="200"/>
        <w:rPr>
          <w:rFonts w:ascii="仿宋" w:hAnsi="仿宋" w:eastAsia="仿宋" w:cs="宋体"/>
          <w:sz w:val="32"/>
          <w:szCs w:val="32"/>
        </w:rPr>
      </w:pPr>
      <w:r>
        <w:rPr>
          <w:rFonts w:hint="eastAsia" w:ascii="仿宋" w:hAnsi="仿宋" w:eastAsia="仿宋" w:cs="宋体"/>
          <w:sz w:val="32"/>
          <w:szCs w:val="32"/>
        </w:rPr>
        <w:t>三、关于加强法制建设方面</w:t>
      </w:r>
    </w:p>
    <w:p>
      <w:pPr>
        <w:snapToGrid w:val="0"/>
        <w:spacing w:line="520" w:lineRule="exact"/>
        <w:ind w:firstLine="640" w:firstLineChars="200"/>
        <w:rPr>
          <w:rFonts w:ascii="仿宋" w:hAnsi="仿宋" w:eastAsia="仿宋" w:cs="宋体"/>
          <w:sz w:val="32"/>
          <w:szCs w:val="32"/>
        </w:rPr>
      </w:pPr>
      <w:r>
        <w:rPr>
          <w:rFonts w:hint="eastAsia" w:ascii="仿宋" w:hAnsi="仿宋" w:eastAsia="仿宋" w:cs="宋体"/>
          <w:sz w:val="32"/>
          <w:szCs w:val="32"/>
        </w:rPr>
        <w:t>（一）规范执法制度。进一步加强制度建设，明确职责，规范执法程序。同时，全面推行行政执法公示制度、执法全过程记录制度、重大行政执法决定法制审核制度改革，全面加强行政执法信息化建设，深入开展“强基础、转作风、树形象”行动，加强城管执法队伍建设，加大对违法案件的查处力度，不断提高执法水平。</w:t>
      </w:r>
    </w:p>
    <w:p>
      <w:pPr>
        <w:snapToGrid w:val="0"/>
        <w:spacing w:line="520" w:lineRule="exact"/>
        <w:ind w:firstLine="640" w:firstLineChars="200"/>
        <w:rPr>
          <w:rFonts w:ascii="仿宋" w:hAnsi="仿宋" w:eastAsia="仿宋" w:cs="宋体"/>
          <w:sz w:val="32"/>
          <w:szCs w:val="32"/>
        </w:rPr>
      </w:pPr>
      <w:r>
        <w:rPr>
          <w:rFonts w:hint="eastAsia" w:ascii="仿宋" w:hAnsi="仿宋" w:eastAsia="仿宋" w:cs="宋体"/>
          <w:sz w:val="32"/>
          <w:szCs w:val="32"/>
        </w:rPr>
        <w:t>（二）提高案卷制作水平。大队利用下雨天集中进行案</w:t>
      </w:r>
    </w:p>
    <w:p>
      <w:pPr>
        <w:snapToGrid w:val="0"/>
        <w:spacing w:line="520" w:lineRule="exact"/>
        <w:ind w:firstLine="640" w:firstLineChars="200"/>
        <w:rPr>
          <w:rFonts w:ascii="仿宋" w:hAnsi="仿宋" w:eastAsia="仿宋" w:cs="宋体"/>
          <w:sz w:val="32"/>
          <w:szCs w:val="32"/>
        </w:rPr>
      </w:pPr>
      <w:r>
        <w:rPr>
          <w:rFonts w:hint="eastAsia" w:ascii="仿宋" w:hAnsi="仿宋" w:eastAsia="仿宋" w:cs="宋体"/>
          <w:sz w:val="32"/>
          <w:szCs w:val="32"/>
        </w:rPr>
        <w:t>卷审核，并针对发现案卷存在的问题，当场对经办人员进行培训，补缺补漏，并整改到位，促使得达到执法人员对案卷的制作有了更加深刻的认识，提高了大队执法人员的案卷制作水平。</w:t>
      </w:r>
    </w:p>
    <w:p>
      <w:pPr>
        <w:snapToGrid w:val="0"/>
        <w:spacing w:line="520" w:lineRule="exact"/>
        <w:ind w:firstLine="640" w:firstLineChars="200"/>
        <w:rPr>
          <w:rFonts w:ascii="仿宋" w:hAnsi="仿宋" w:eastAsia="仿宋" w:cs="宋体"/>
          <w:sz w:val="32"/>
          <w:szCs w:val="32"/>
        </w:rPr>
      </w:pPr>
      <w:r>
        <w:rPr>
          <w:rFonts w:hint="eastAsia" w:ascii="仿宋" w:hAnsi="仿宋" w:eastAsia="仿宋" w:cs="宋体"/>
          <w:sz w:val="32"/>
          <w:szCs w:val="32"/>
        </w:rPr>
        <w:t>（三）落实执法过程全记录制度。试行执法过程全记录</w:t>
      </w:r>
    </w:p>
    <w:p>
      <w:pPr>
        <w:snapToGrid w:val="0"/>
        <w:spacing w:line="520" w:lineRule="exact"/>
        <w:ind w:firstLine="640" w:firstLineChars="200"/>
        <w:rPr>
          <w:rFonts w:ascii="仿宋" w:hAnsi="仿宋" w:eastAsia="仿宋" w:cs="宋体"/>
          <w:sz w:val="32"/>
          <w:szCs w:val="32"/>
        </w:rPr>
      </w:pPr>
      <w:r>
        <w:rPr>
          <w:rFonts w:hint="eastAsia" w:ascii="仿宋" w:hAnsi="仿宋" w:eastAsia="仿宋" w:cs="宋体"/>
          <w:sz w:val="32"/>
          <w:szCs w:val="32"/>
        </w:rPr>
        <w:t>执法工作，并按要求为各中队配备执法记录仪。</w:t>
      </w:r>
    </w:p>
    <w:p>
      <w:pPr>
        <w:snapToGrid w:val="0"/>
        <w:spacing w:line="520" w:lineRule="exact"/>
        <w:ind w:firstLine="640" w:firstLineChars="200"/>
        <w:rPr>
          <w:rFonts w:ascii="仿宋" w:hAnsi="仿宋" w:eastAsia="仿宋" w:cs="宋体"/>
          <w:sz w:val="32"/>
          <w:szCs w:val="32"/>
        </w:rPr>
      </w:pPr>
      <w:r>
        <w:rPr>
          <w:rFonts w:hint="eastAsia" w:ascii="仿宋" w:hAnsi="仿宋" w:eastAsia="仿宋" w:cs="宋体"/>
          <w:sz w:val="32"/>
          <w:szCs w:val="32"/>
        </w:rPr>
        <w:t xml:space="preserve">（四）推行“律师驻队”制度。一是大队律师对一线人员定期组织开展法律知识培训，结合典型案例精选分析，同时为一线执法如何规避法律风险提出建议。二是针对重大案件大队邀请律师参与对案件的审核把关，将法律风险降到最低。 </w:t>
      </w:r>
    </w:p>
    <w:p>
      <w:pPr>
        <w:snapToGrid w:val="0"/>
        <w:spacing w:line="520" w:lineRule="exact"/>
        <w:ind w:firstLine="640" w:firstLineChars="200"/>
        <w:rPr>
          <w:rFonts w:ascii="仿宋" w:hAnsi="仿宋" w:eastAsia="仿宋" w:cs="宋体"/>
          <w:sz w:val="32"/>
          <w:szCs w:val="32"/>
        </w:rPr>
      </w:pPr>
      <w:r>
        <w:rPr>
          <w:rFonts w:hint="eastAsia" w:ascii="仿宋" w:hAnsi="仿宋" w:eastAsia="仿宋" w:cs="宋体"/>
          <w:sz w:val="32"/>
          <w:szCs w:val="32"/>
        </w:rPr>
        <w:t>四、关于加强作风纪律建设方面</w:t>
      </w:r>
    </w:p>
    <w:p>
      <w:pPr>
        <w:snapToGrid w:val="0"/>
        <w:spacing w:line="520" w:lineRule="exact"/>
        <w:ind w:firstLine="640" w:firstLineChars="200"/>
        <w:rPr>
          <w:rFonts w:ascii="仿宋" w:hAnsi="仿宋" w:eastAsia="仿宋" w:cs="宋体"/>
          <w:sz w:val="32"/>
          <w:szCs w:val="32"/>
        </w:rPr>
      </w:pPr>
      <w:r>
        <w:rPr>
          <w:rFonts w:hint="eastAsia" w:ascii="仿宋" w:hAnsi="仿宋" w:eastAsia="仿宋" w:cs="宋体"/>
          <w:sz w:val="32"/>
          <w:szCs w:val="32"/>
        </w:rPr>
        <w:t>狠抓队伍作风建设，提升执法水平和执法形象，杜绝不作为、乱作为现象。大队制定并完善了各项规章制度，落实督查问责机制，对于不合符城市管理执法人员条件、不合适继续留在一线执法的人员，我大队根据实际情况调至后勤岗位或予以辞退。同时我大队以廉政教育大会、集体廉政谈话提醒、个人廉政谈话提醒等方式，做到拒腐防变警钟长鸣、反腐倡廉常抓不懈。</w:t>
      </w:r>
    </w:p>
    <w:p>
      <w:pPr>
        <w:snapToGrid w:val="0"/>
        <w:spacing w:line="520" w:lineRule="exact"/>
        <w:ind w:firstLine="640" w:firstLineChars="200"/>
        <w:rPr>
          <w:rFonts w:ascii="仿宋" w:hAnsi="仿宋" w:eastAsia="仿宋" w:cs="宋体"/>
          <w:sz w:val="32"/>
          <w:szCs w:val="32"/>
        </w:rPr>
      </w:pPr>
      <w:r>
        <w:rPr>
          <w:rFonts w:hint="eastAsia" w:ascii="仿宋" w:hAnsi="仿宋" w:eastAsia="仿宋" w:cs="宋体"/>
          <w:sz w:val="32"/>
          <w:szCs w:val="32"/>
        </w:rPr>
        <w:t>五、关于城市管理中心工作</w:t>
      </w:r>
    </w:p>
    <w:p>
      <w:pPr>
        <w:snapToGrid w:val="0"/>
        <w:spacing w:line="520" w:lineRule="exact"/>
        <w:ind w:firstLine="640" w:firstLineChars="200"/>
        <w:rPr>
          <w:rFonts w:ascii="仿宋" w:hAnsi="仿宋" w:eastAsia="仿宋" w:cs="宋体"/>
          <w:sz w:val="32"/>
          <w:szCs w:val="32"/>
        </w:rPr>
      </w:pPr>
      <w:r>
        <w:rPr>
          <w:rFonts w:hint="eastAsia" w:ascii="仿宋" w:hAnsi="仿宋" w:eastAsia="仿宋" w:cs="宋体"/>
          <w:sz w:val="32"/>
          <w:szCs w:val="32"/>
        </w:rPr>
        <w:t>（一）强化市容管控。我大队深入贯彻“城市管理应该</w:t>
      </w:r>
    </w:p>
    <w:p>
      <w:pPr>
        <w:snapToGrid w:val="0"/>
        <w:spacing w:line="520" w:lineRule="exact"/>
        <w:ind w:firstLine="640" w:firstLineChars="200"/>
        <w:rPr>
          <w:rFonts w:ascii="仿宋" w:hAnsi="仿宋" w:eastAsia="仿宋" w:cs="宋体"/>
          <w:sz w:val="32"/>
          <w:szCs w:val="32"/>
        </w:rPr>
      </w:pPr>
      <w:r>
        <w:rPr>
          <w:rFonts w:hint="eastAsia" w:ascii="仿宋" w:hAnsi="仿宋" w:eastAsia="仿宋" w:cs="宋体"/>
          <w:sz w:val="32"/>
          <w:szCs w:val="32"/>
        </w:rPr>
        <w:t>像绣花一样精细”的指示精神，下足功夫扮靓城市环境。积极推行“严管街”试点工作，抽调骨干力量组建专职执法队伍，班子人员下中队，对全市严管道路开展集中整治，以点带面提升全市市容市貌；全力开展非机动车乱停放专项整治，有力改善城区交通状况；加强各类违规广告整治，全年共纠正违章56800余次。通过加强管理，市容秩序得到进一步提高，城市面貌焕然一新。</w:t>
      </w:r>
    </w:p>
    <w:p>
      <w:pPr>
        <w:snapToGrid w:val="0"/>
        <w:spacing w:line="520" w:lineRule="exact"/>
        <w:ind w:firstLine="640" w:firstLineChars="200"/>
        <w:rPr>
          <w:rFonts w:ascii="仿宋" w:hAnsi="仿宋" w:eastAsia="仿宋" w:cs="宋体"/>
          <w:sz w:val="32"/>
          <w:szCs w:val="32"/>
        </w:rPr>
      </w:pPr>
      <w:r>
        <w:rPr>
          <w:rFonts w:hint="eastAsia" w:ascii="仿宋" w:hAnsi="仿宋" w:eastAsia="仿宋" w:cs="宋体"/>
          <w:sz w:val="32"/>
          <w:szCs w:val="32"/>
        </w:rPr>
        <w:t>（二）严查严控乱搭乱建。秉持“零容忍”刚性约束，加大违法建筑拆除力度，并组建专职拆违队伍，深入各社区实地了解情况，因地制宜制定拆违计划，对违章搭建者上门做好工作，发放整改通知。全年共拆除违章建筑5100平方米。</w:t>
      </w:r>
    </w:p>
    <w:p>
      <w:pPr>
        <w:snapToGrid w:val="0"/>
        <w:spacing w:line="520" w:lineRule="exact"/>
        <w:ind w:firstLine="640" w:firstLineChars="200"/>
        <w:rPr>
          <w:rFonts w:ascii="仿宋" w:hAnsi="仿宋" w:eastAsia="仿宋" w:cs="宋体"/>
          <w:sz w:val="32"/>
          <w:szCs w:val="32"/>
        </w:rPr>
      </w:pPr>
      <w:r>
        <w:rPr>
          <w:rFonts w:hint="eastAsia" w:ascii="仿宋" w:hAnsi="仿宋" w:eastAsia="仿宋" w:cs="宋体"/>
          <w:sz w:val="32"/>
          <w:szCs w:val="32"/>
        </w:rPr>
        <w:t>（三）规范夜市漫酒管理</w:t>
      </w:r>
    </w:p>
    <w:p>
      <w:pPr>
        <w:snapToGrid w:val="0"/>
        <w:spacing w:line="520" w:lineRule="exact"/>
        <w:ind w:firstLine="640" w:firstLineChars="200"/>
        <w:rPr>
          <w:rFonts w:ascii="仿宋" w:hAnsi="仿宋" w:eastAsia="仿宋" w:cs="宋体"/>
          <w:sz w:val="32"/>
          <w:szCs w:val="32"/>
        </w:rPr>
      </w:pPr>
      <w:r>
        <w:rPr>
          <w:rFonts w:hint="eastAsia" w:ascii="仿宋" w:hAnsi="仿宋" w:eastAsia="仿宋" w:cs="宋体"/>
          <w:sz w:val="32"/>
          <w:szCs w:val="32"/>
        </w:rPr>
        <w:t>大队今年对全市的夜市漫酒进行登记造册，临时规划出</w:t>
      </w:r>
    </w:p>
    <w:p>
      <w:pPr>
        <w:snapToGrid w:val="0"/>
        <w:spacing w:line="520" w:lineRule="exact"/>
        <w:ind w:firstLine="640" w:firstLineChars="200"/>
        <w:rPr>
          <w:rFonts w:ascii="仿宋" w:hAnsi="仿宋" w:eastAsia="仿宋" w:cs="宋体"/>
          <w:sz w:val="32"/>
          <w:szCs w:val="32"/>
        </w:rPr>
      </w:pPr>
      <w:r>
        <w:rPr>
          <w:rFonts w:hint="eastAsia" w:ascii="仿宋" w:hAnsi="仿宋" w:eastAsia="仿宋" w:cs="宋体"/>
          <w:sz w:val="32"/>
          <w:szCs w:val="32"/>
        </w:rPr>
        <w:t>一些疏导区，对夜市漫酒依据大队定时间、定地点、定卫生标准来统一管理。对难点、重点区域派专人予以值守，全年共开展夜间整治行动63次，取缔违章占道漫酒摊点268处，引导510余处漫酒摊点进规范区经营，目前全市夜市漫酒管理有序、可控。</w:t>
      </w:r>
    </w:p>
    <w:p>
      <w:pPr>
        <w:snapToGrid w:val="0"/>
        <w:spacing w:line="520" w:lineRule="exact"/>
        <w:ind w:firstLine="640" w:firstLineChars="200"/>
        <w:rPr>
          <w:rFonts w:ascii="仿宋" w:hAnsi="仿宋" w:eastAsia="仿宋" w:cs="宋体"/>
          <w:sz w:val="32"/>
          <w:szCs w:val="32"/>
        </w:rPr>
      </w:pPr>
      <w:r>
        <w:rPr>
          <w:rFonts w:hint="eastAsia" w:ascii="仿宋" w:hAnsi="仿宋" w:eastAsia="仿宋" w:cs="宋体"/>
          <w:sz w:val="32"/>
          <w:szCs w:val="32"/>
        </w:rPr>
        <w:t>（四）城市“牛皮癣”管理工作</w:t>
      </w:r>
    </w:p>
    <w:p>
      <w:pPr>
        <w:snapToGrid w:val="0"/>
        <w:spacing w:line="520" w:lineRule="exact"/>
        <w:ind w:firstLine="640" w:firstLineChars="200"/>
        <w:rPr>
          <w:rFonts w:ascii="仿宋" w:hAnsi="仿宋" w:eastAsia="仿宋" w:cs="宋体"/>
          <w:sz w:val="32"/>
          <w:szCs w:val="32"/>
        </w:rPr>
      </w:pPr>
      <w:r>
        <w:rPr>
          <w:rFonts w:hint="eastAsia" w:ascii="仿宋" w:hAnsi="仿宋" w:eastAsia="仿宋" w:cs="宋体"/>
          <w:sz w:val="32"/>
          <w:szCs w:val="32"/>
        </w:rPr>
        <w:t>2022年组织人员对市区主要路段的城市“牛皮癣”开展</w:t>
      </w:r>
    </w:p>
    <w:p>
      <w:pPr>
        <w:snapToGrid w:val="0"/>
        <w:spacing w:line="520" w:lineRule="exact"/>
        <w:rPr>
          <w:rFonts w:ascii="仿宋" w:hAnsi="仿宋" w:eastAsia="仿宋" w:cs="宋体"/>
          <w:sz w:val="32"/>
          <w:szCs w:val="32"/>
        </w:rPr>
      </w:pPr>
      <w:r>
        <w:rPr>
          <w:rFonts w:hint="eastAsia" w:ascii="仿宋" w:hAnsi="仿宋" w:eastAsia="仿宋" w:cs="宋体"/>
          <w:sz w:val="32"/>
          <w:szCs w:val="32"/>
        </w:rPr>
        <w:t>了48次大清理，全年共清理“城市牛皮癣”81000余处，处理违章案件230余件。通过管理，“城市牛皮癣”得到了有效管控。</w:t>
      </w:r>
    </w:p>
    <w:p>
      <w:pPr>
        <w:snapToGrid w:val="0"/>
        <w:spacing w:line="520" w:lineRule="exact"/>
        <w:ind w:firstLine="640" w:firstLineChars="200"/>
        <w:rPr>
          <w:rFonts w:ascii="仿宋" w:hAnsi="仿宋" w:eastAsia="仿宋" w:cs="宋体"/>
          <w:sz w:val="32"/>
          <w:szCs w:val="32"/>
        </w:rPr>
      </w:pPr>
      <w:r>
        <w:rPr>
          <w:rFonts w:hint="eastAsia" w:ascii="仿宋" w:hAnsi="仿宋" w:eastAsia="仿宋" w:cs="宋体"/>
          <w:sz w:val="32"/>
          <w:szCs w:val="32"/>
        </w:rPr>
        <w:t>（五）餐饮油烟排放管理工作</w:t>
      </w:r>
    </w:p>
    <w:p>
      <w:pPr>
        <w:snapToGrid w:val="0"/>
        <w:spacing w:line="520" w:lineRule="exact"/>
        <w:ind w:firstLine="640" w:firstLineChars="200"/>
        <w:rPr>
          <w:rFonts w:ascii="仿宋" w:hAnsi="仿宋" w:eastAsia="仿宋" w:cs="宋体"/>
          <w:sz w:val="32"/>
          <w:szCs w:val="32"/>
        </w:rPr>
      </w:pPr>
      <w:r>
        <w:rPr>
          <w:rFonts w:hint="eastAsia" w:ascii="仿宋" w:hAnsi="仿宋" w:eastAsia="仿宋" w:cs="宋体"/>
          <w:sz w:val="32"/>
          <w:szCs w:val="32"/>
        </w:rPr>
        <w:t>2022年，油烟办对市区主要路段的酒店宾馆和饭店进行</w:t>
      </w:r>
    </w:p>
    <w:p>
      <w:pPr>
        <w:snapToGrid w:val="0"/>
        <w:spacing w:line="520" w:lineRule="exact"/>
        <w:rPr>
          <w:rFonts w:ascii="仿宋" w:hAnsi="仿宋" w:eastAsia="仿宋" w:cs="宋体"/>
          <w:sz w:val="32"/>
          <w:szCs w:val="32"/>
        </w:rPr>
      </w:pPr>
      <w:r>
        <w:rPr>
          <w:rFonts w:hint="eastAsia" w:ascii="仿宋" w:hAnsi="仿宋" w:eastAsia="仿宋" w:cs="宋体"/>
          <w:sz w:val="32"/>
          <w:szCs w:val="32"/>
        </w:rPr>
        <w:t>摸底排查、登记造册。对不符合排放标准的管理对象开出整改通知260余份，要求安装净化设备。对所有投诉，都上门开出整改通知，接投诉电话共计150余起，都基本处理到位，处理率达98%，净化器都已安装。全市酒店宾馆净化设备安装率达90%左右。同时对城区各学校食堂进行了检查，净化设备安装率达90%左右。对全市的露天烧烤开展了集中整治，全市共有90余家烧烤摊位，全部按要求安装无烟灶，统一整改到位。</w:t>
      </w:r>
    </w:p>
    <w:p>
      <w:pPr>
        <w:snapToGrid w:val="0"/>
        <w:spacing w:line="520" w:lineRule="exact"/>
        <w:ind w:firstLine="640" w:firstLineChars="200"/>
        <w:rPr>
          <w:rFonts w:ascii="仿宋" w:hAnsi="仿宋" w:eastAsia="仿宋" w:cs="宋体"/>
          <w:sz w:val="32"/>
          <w:szCs w:val="32"/>
        </w:rPr>
      </w:pPr>
      <w:r>
        <w:rPr>
          <w:rFonts w:hint="eastAsia" w:ascii="仿宋" w:hAnsi="仿宋" w:eastAsia="仿宋" w:cs="宋体"/>
          <w:sz w:val="32"/>
          <w:szCs w:val="32"/>
        </w:rPr>
        <w:t>（六）燃气管理工作</w:t>
      </w:r>
    </w:p>
    <w:p>
      <w:pPr>
        <w:snapToGrid w:val="0"/>
        <w:spacing w:line="520" w:lineRule="exact"/>
        <w:ind w:firstLine="640" w:firstLineChars="200"/>
        <w:rPr>
          <w:rFonts w:ascii="仿宋" w:hAnsi="仿宋" w:eastAsia="仿宋" w:cs="宋体"/>
          <w:sz w:val="32"/>
          <w:szCs w:val="32"/>
        </w:rPr>
      </w:pPr>
      <w:r>
        <w:rPr>
          <w:rFonts w:hint="eastAsia" w:ascii="仿宋" w:hAnsi="仿宋" w:eastAsia="仿宋" w:cs="宋体"/>
          <w:sz w:val="32"/>
          <w:szCs w:val="32"/>
        </w:rPr>
        <w:t>年初，制度了《燃气管理工作方案》，成立了燃气安全</w:t>
      </w:r>
    </w:p>
    <w:p>
      <w:pPr>
        <w:snapToGrid w:val="0"/>
        <w:spacing w:line="520" w:lineRule="exact"/>
        <w:rPr>
          <w:rFonts w:ascii="仿宋" w:hAnsi="仿宋" w:eastAsia="仿宋" w:cs="宋体"/>
          <w:sz w:val="32"/>
          <w:szCs w:val="32"/>
        </w:rPr>
      </w:pPr>
      <w:r>
        <w:rPr>
          <w:rFonts w:hint="eastAsia" w:ascii="仿宋" w:hAnsi="仿宋" w:eastAsia="仿宋" w:cs="宋体"/>
          <w:sz w:val="32"/>
          <w:szCs w:val="32"/>
        </w:rPr>
        <w:t>生产管理领导小组、与全市燃气企业签订了安全生产责任状、组织全市燃气企业负责人召开了年度工作总结会议。进一步建立健全了燃气管理各项规章制度。坚持做到每日组织执法人员对市区销售网点进行一次巡查；每周对城郊燃气企业进行一次安全巡查；每月和重大节假日对全市的燃气企业、各乡镇销售网点进行一次安全隐患大排查，利用宣传车加强了燃气安全宣传。建立了燃气安全网上监控平台，制定了燃气预算编制工作，全年依法查处违反安全隐患20余起。送达整改通知书30余份。坚持依法管理、勤于管理，我市没有发生一起重大燃气安全事故。</w:t>
      </w:r>
    </w:p>
    <w:p>
      <w:pPr>
        <w:snapToGrid w:val="0"/>
        <w:spacing w:line="520" w:lineRule="exact"/>
        <w:ind w:firstLine="640" w:firstLineChars="200"/>
        <w:rPr>
          <w:rFonts w:ascii="仿宋" w:hAnsi="仿宋" w:eastAsia="仿宋" w:cs="宋体"/>
          <w:sz w:val="32"/>
          <w:szCs w:val="32"/>
        </w:rPr>
      </w:pPr>
      <w:r>
        <w:rPr>
          <w:rFonts w:hint="eastAsia" w:ascii="仿宋" w:hAnsi="仿宋" w:eastAsia="仿宋" w:cs="宋体"/>
          <w:sz w:val="32"/>
          <w:szCs w:val="32"/>
        </w:rPr>
        <w:t>（七）乡村振兴工作</w:t>
      </w:r>
    </w:p>
    <w:p>
      <w:pPr>
        <w:snapToGrid w:val="0"/>
        <w:spacing w:line="520" w:lineRule="exact"/>
        <w:ind w:firstLine="640" w:firstLineChars="200"/>
        <w:rPr>
          <w:rFonts w:ascii="仿宋" w:hAnsi="仿宋" w:eastAsia="仿宋" w:cs="宋体"/>
          <w:sz w:val="32"/>
          <w:szCs w:val="32"/>
        </w:rPr>
      </w:pPr>
      <w:r>
        <w:rPr>
          <w:rFonts w:hint="eastAsia" w:ascii="仿宋" w:hAnsi="仿宋" w:eastAsia="仿宋" w:cs="宋体"/>
          <w:sz w:val="32"/>
          <w:szCs w:val="32"/>
        </w:rPr>
        <w:t>为落实市委、市政府的扶贫攻坚任务，大队高度重视，</w:t>
      </w:r>
    </w:p>
    <w:p>
      <w:pPr>
        <w:snapToGrid w:val="0"/>
        <w:spacing w:line="520" w:lineRule="exact"/>
        <w:rPr>
          <w:rFonts w:ascii="仿宋" w:hAnsi="仿宋" w:eastAsia="仿宋" w:cs="宋体"/>
          <w:sz w:val="32"/>
          <w:szCs w:val="32"/>
        </w:rPr>
      </w:pPr>
      <w:r>
        <w:rPr>
          <w:rFonts w:hint="eastAsia" w:ascii="仿宋" w:hAnsi="仿宋" w:eastAsia="仿宋" w:cs="宋体"/>
          <w:sz w:val="32"/>
          <w:szCs w:val="32"/>
        </w:rPr>
        <w:t>成立了乡村振兴工作领导小组，安排副大队长李益文同志赴安化开展乡村振兴工作，对贫困户的情况进行了细致的了解与分析，解难题办实事，精准助推脱贫攻坚工作，巩固脱贫成果。</w:t>
      </w:r>
    </w:p>
    <w:p>
      <w:pPr>
        <w:snapToGrid w:val="0"/>
        <w:spacing w:line="520" w:lineRule="exact"/>
        <w:ind w:firstLine="640" w:firstLineChars="200"/>
        <w:rPr>
          <w:rFonts w:ascii="仿宋" w:hAnsi="仿宋" w:eastAsia="仿宋" w:cs="宋体"/>
          <w:sz w:val="32"/>
          <w:szCs w:val="32"/>
        </w:rPr>
      </w:pPr>
      <w:r>
        <w:rPr>
          <w:rFonts w:hint="eastAsia" w:ascii="仿宋" w:hAnsi="仿宋" w:eastAsia="仿宋" w:cs="宋体"/>
          <w:sz w:val="32"/>
          <w:szCs w:val="32"/>
        </w:rPr>
        <w:t>（八）工会工作</w:t>
      </w:r>
    </w:p>
    <w:p>
      <w:pPr>
        <w:snapToGrid w:val="0"/>
        <w:spacing w:line="520" w:lineRule="exact"/>
        <w:ind w:firstLine="640" w:firstLineChars="200"/>
        <w:rPr>
          <w:rFonts w:ascii="仿宋" w:hAnsi="仿宋" w:eastAsia="仿宋" w:cs="宋体"/>
          <w:sz w:val="32"/>
          <w:szCs w:val="32"/>
        </w:rPr>
      </w:pPr>
      <w:r>
        <w:rPr>
          <w:rFonts w:hint="eastAsia" w:ascii="仿宋" w:hAnsi="仿宋" w:eastAsia="仿宋" w:cs="宋体"/>
          <w:sz w:val="32"/>
          <w:szCs w:val="32"/>
        </w:rPr>
        <w:t>2022年，大队工会组织到郴州汝城开展“半条被子”红色教育，组织干职工到万青生态农庄开展春游、秋游活动，参观学习，积极参加市里组织的气排球比赛，增强了大队凝聚力和战斗力。</w:t>
      </w:r>
    </w:p>
    <w:p>
      <w:pPr>
        <w:snapToGrid w:val="0"/>
        <w:spacing w:line="520" w:lineRule="exact"/>
        <w:ind w:firstLine="640" w:firstLineChars="200"/>
        <w:rPr>
          <w:rFonts w:ascii="仿宋" w:hAnsi="仿宋" w:eastAsia="仿宋" w:cs="宋体"/>
          <w:sz w:val="32"/>
          <w:szCs w:val="32"/>
        </w:rPr>
      </w:pPr>
      <w:r>
        <w:rPr>
          <w:rFonts w:hint="eastAsia" w:ascii="仿宋" w:hAnsi="仿宋" w:eastAsia="仿宋" w:cs="宋体"/>
          <w:sz w:val="32"/>
          <w:szCs w:val="32"/>
        </w:rPr>
        <w:t>（九）宣传工作</w:t>
      </w:r>
    </w:p>
    <w:p>
      <w:pPr>
        <w:snapToGrid w:val="0"/>
        <w:spacing w:line="520" w:lineRule="exact"/>
        <w:ind w:firstLine="640" w:firstLineChars="200"/>
        <w:rPr>
          <w:rFonts w:ascii="仿宋" w:hAnsi="仿宋" w:eastAsia="仿宋" w:cs="宋体"/>
          <w:sz w:val="32"/>
          <w:szCs w:val="32"/>
        </w:rPr>
      </w:pPr>
      <w:r>
        <w:rPr>
          <w:rFonts w:hint="eastAsia" w:ascii="仿宋" w:hAnsi="仿宋" w:eastAsia="仿宋" w:cs="宋体"/>
          <w:sz w:val="32"/>
          <w:szCs w:val="32"/>
        </w:rPr>
        <w:t>今年加大了对外宣传的力度，市电视台对我大队进行报</w:t>
      </w:r>
    </w:p>
    <w:p>
      <w:pPr>
        <w:snapToGrid w:val="0"/>
        <w:spacing w:line="520" w:lineRule="exact"/>
        <w:rPr>
          <w:rFonts w:ascii="仿宋" w:hAnsi="仿宋" w:eastAsia="仿宋" w:cs="宋体"/>
          <w:sz w:val="32"/>
          <w:szCs w:val="32"/>
        </w:rPr>
      </w:pPr>
      <w:r>
        <w:rPr>
          <w:rFonts w:hint="eastAsia" w:ascii="仿宋" w:hAnsi="仿宋" w:eastAsia="仿宋" w:cs="宋体"/>
          <w:sz w:val="32"/>
          <w:szCs w:val="32"/>
        </w:rPr>
        <w:t>道7次，手机报上报信息11次，在市主流媒体发布文章8篇，益阳市媒体上发表文章1篇。通过加强新闻的报道，社会各界对城管大队工作的支持理解越来越高。</w:t>
      </w:r>
    </w:p>
    <w:p>
      <w:pPr>
        <w:snapToGrid w:val="0"/>
        <w:spacing w:line="520" w:lineRule="exact"/>
        <w:ind w:firstLine="640" w:firstLineChars="200"/>
        <w:rPr>
          <w:rFonts w:ascii="仿宋" w:hAnsi="仿宋" w:eastAsia="仿宋" w:cs="宋体"/>
          <w:sz w:val="32"/>
          <w:szCs w:val="32"/>
        </w:rPr>
      </w:pPr>
      <w:r>
        <w:rPr>
          <w:rFonts w:hint="eastAsia" w:ascii="仿宋" w:hAnsi="仿宋" w:eastAsia="仿宋" w:cs="宋体"/>
          <w:sz w:val="32"/>
          <w:szCs w:val="32"/>
        </w:rPr>
        <w:t>（十）迎检工作</w:t>
      </w:r>
    </w:p>
    <w:p>
      <w:pPr>
        <w:snapToGrid w:val="0"/>
        <w:spacing w:line="520" w:lineRule="exact"/>
        <w:ind w:firstLine="640" w:firstLineChars="200"/>
        <w:rPr>
          <w:rFonts w:ascii="仿宋" w:hAnsi="仿宋" w:eastAsia="仿宋" w:cs="宋体"/>
          <w:sz w:val="32"/>
          <w:szCs w:val="32"/>
        </w:rPr>
      </w:pPr>
      <w:r>
        <w:rPr>
          <w:rFonts w:hint="eastAsia" w:ascii="仿宋" w:hAnsi="仿宋" w:eastAsia="仿宋" w:cs="宋体"/>
          <w:sz w:val="32"/>
          <w:szCs w:val="32"/>
        </w:rPr>
        <w:t xml:space="preserve">今年迎接上级各类检查80余次，没有出现一次失误，参加市里组织的违章建筑物的拆除、各类联合执法50余次，每次都顺利完成任务。大队组织的民兵应急分队参加防汛、防冰雪天气和各类突击任务，受到了各级领导的嘉许。各级领导高度肯定了我们城管大队的工作。多次受到市委市政府的充分肯定与表扬。在人民群众中的形象得到进一步的提高。   </w:t>
      </w:r>
    </w:p>
    <w:p>
      <w:pPr>
        <w:snapToGrid w:val="0"/>
        <w:spacing w:line="520" w:lineRule="exact"/>
        <w:ind w:firstLine="640" w:firstLineChars="200"/>
        <w:rPr>
          <w:rFonts w:ascii="仿宋" w:hAnsi="仿宋" w:eastAsia="仿宋" w:cs="宋体"/>
          <w:sz w:val="32"/>
          <w:szCs w:val="32"/>
        </w:rPr>
      </w:pPr>
      <w:r>
        <w:rPr>
          <w:rFonts w:hint="eastAsia" w:ascii="仿宋" w:hAnsi="仿宋" w:eastAsia="仿宋" w:cs="宋体"/>
          <w:sz w:val="32"/>
          <w:szCs w:val="32"/>
        </w:rPr>
        <w:t>（十一）执法装备、办公设施得到全面改善。</w:t>
      </w:r>
    </w:p>
    <w:p>
      <w:pPr>
        <w:snapToGrid w:val="0"/>
        <w:spacing w:line="520" w:lineRule="exact"/>
        <w:ind w:firstLine="640" w:firstLineChars="200"/>
        <w:rPr>
          <w:rFonts w:ascii="仿宋" w:hAnsi="仿宋" w:eastAsia="仿宋" w:cs="宋体"/>
          <w:sz w:val="32"/>
          <w:szCs w:val="32"/>
        </w:rPr>
      </w:pPr>
      <w:r>
        <w:rPr>
          <w:rFonts w:hint="eastAsia" w:ascii="仿宋" w:hAnsi="仿宋" w:eastAsia="仿宋" w:cs="宋体"/>
          <w:sz w:val="32"/>
          <w:szCs w:val="32"/>
        </w:rPr>
        <w:t>为提高城市管理效率，大队今年在工作经费极度紧缺的情况下，对办公楼进行了搬迁，对原农机局旧办公楼进行了改造，新建了机关食堂，添置了新电脑7台、空调16台，办公桌椅等办公设备，为大队全体执法人员添置了新制服，配备了执法记录仪。今年，大队执法装备、办公设施得到了更好的完善。</w:t>
      </w:r>
    </w:p>
    <w:p>
      <w:pPr>
        <w:snapToGrid w:val="0"/>
        <w:spacing w:line="520" w:lineRule="exact"/>
        <w:ind w:firstLine="640" w:firstLineChars="200"/>
        <w:rPr>
          <w:rFonts w:ascii="仿宋" w:hAnsi="仿宋" w:eastAsia="仿宋" w:cs="宋体"/>
          <w:sz w:val="32"/>
          <w:szCs w:val="32"/>
        </w:rPr>
      </w:pPr>
      <w:r>
        <w:rPr>
          <w:rFonts w:hint="eastAsia" w:ascii="仿宋" w:hAnsi="仿宋" w:eastAsia="仿宋" w:cs="宋体"/>
          <w:sz w:val="32"/>
          <w:szCs w:val="32"/>
        </w:rPr>
        <w:t>二、收入支出预算执行情况分析</w:t>
      </w:r>
    </w:p>
    <w:p>
      <w:pPr>
        <w:snapToGrid w:val="0"/>
        <w:spacing w:line="520" w:lineRule="exact"/>
        <w:ind w:firstLine="642" w:firstLineChars="200"/>
        <w:rPr>
          <w:rFonts w:ascii="仿宋" w:hAnsi="仿宋" w:eastAsia="仿宋" w:cs="宋体"/>
          <w:b/>
          <w:sz w:val="32"/>
          <w:szCs w:val="32"/>
        </w:rPr>
      </w:pPr>
      <w:r>
        <w:rPr>
          <w:rFonts w:hint="eastAsia" w:ascii="仿宋" w:hAnsi="仿宋" w:eastAsia="仿宋" w:cs="宋体"/>
          <w:b/>
          <w:sz w:val="32"/>
          <w:szCs w:val="32"/>
        </w:rPr>
        <w:t>（一）收入支出预算安排情况。</w:t>
      </w:r>
    </w:p>
    <w:p>
      <w:pPr>
        <w:widowControl/>
        <w:kinsoku w:val="0"/>
        <w:autoSpaceDE w:val="0"/>
        <w:autoSpaceDN w:val="0"/>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年初部门预算情况：预算内一般公共预算拨款1101.36万元，政府性基金预算财政拨款收入9.72万元，其他收入82.72万元，共计1193.8万元。</w:t>
      </w:r>
    </w:p>
    <w:p>
      <w:pPr>
        <w:widowControl/>
        <w:kinsoku w:val="0"/>
        <w:autoSpaceDE w:val="0"/>
        <w:autoSpaceDN w:val="0"/>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年终决算情况：预算内一般公共预算拨款942.241万元，政府性基金预算财政拨款收入9.72万元，其他收入82.72万元，共计1193.8万元。</w:t>
      </w:r>
    </w:p>
    <w:p>
      <w:pPr>
        <w:widowControl/>
        <w:kinsoku w:val="0"/>
        <w:autoSpaceDE w:val="0"/>
        <w:autoSpaceDN w:val="0"/>
        <w:spacing w:line="560" w:lineRule="exact"/>
        <w:ind w:firstLine="642" w:firstLineChars="200"/>
        <w:jc w:val="left"/>
        <w:rPr>
          <w:rFonts w:ascii="仿宋" w:hAnsi="仿宋" w:eastAsia="仿宋" w:cs="宋体"/>
          <w:b/>
          <w:sz w:val="32"/>
          <w:szCs w:val="32"/>
        </w:rPr>
      </w:pPr>
      <w:r>
        <w:rPr>
          <w:rFonts w:hint="eastAsia" w:ascii="仿宋" w:hAnsi="仿宋" w:eastAsia="仿宋" w:cs="宋体"/>
          <w:b/>
          <w:sz w:val="32"/>
          <w:szCs w:val="32"/>
        </w:rPr>
        <w:t>（二）收入支出预算执行情况。</w:t>
      </w:r>
    </w:p>
    <w:p>
      <w:pPr>
        <w:kinsoku w:val="0"/>
        <w:autoSpaceDE w:val="0"/>
        <w:autoSpaceDN w:val="0"/>
        <w:snapToGrid w:val="0"/>
        <w:spacing w:line="520" w:lineRule="exact"/>
        <w:ind w:firstLine="960" w:firstLineChars="300"/>
        <w:rPr>
          <w:rFonts w:ascii="仿宋" w:hAnsi="仿宋" w:eastAsia="仿宋" w:cs="宋体"/>
          <w:bCs/>
          <w:sz w:val="32"/>
          <w:szCs w:val="32"/>
        </w:rPr>
      </w:pPr>
      <w:r>
        <w:rPr>
          <w:rFonts w:hint="eastAsia" w:ascii="仿宋" w:hAnsi="仿宋" w:eastAsia="仿宋" w:cs="宋体"/>
          <w:bCs/>
          <w:sz w:val="32"/>
          <w:szCs w:val="32"/>
        </w:rPr>
        <w:t>2022年预算执行情况：资金</w:t>
      </w:r>
      <w:r>
        <w:rPr>
          <w:rFonts w:hint="eastAsia" w:ascii="仿宋" w:hAnsi="仿宋" w:eastAsia="仿宋" w:cs="宋体"/>
          <w:bCs/>
          <w:kern w:val="0"/>
          <w:sz w:val="32"/>
          <w:szCs w:val="32"/>
        </w:rPr>
        <w:t>主要用于城区拆违拆迁、燃气整治、“牛皮癣”整治等发生的各项支出，包含工资福利支出893.757万元、商品和服务支出116.73万元，项目支出183.317万元。</w:t>
      </w:r>
    </w:p>
    <w:p>
      <w:pPr>
        <w:snapToGrid w:val="0"/>
        <w:spacing w:line="520" w:lineRule="exact"/>
        <w:ind w:firstLine="642" w:firstLineChars="200"/>
        <w:rPr>
          <w:rFonts w:ascii="仿宋" w:hAnsi="仿宋" w:eastAsia="仿宋" w:cs="宋体"/>
          <w:b/>
          <w:sz w:val="32"/>
          <w:szCs w:val="32"/>
        </w:rPr>
      </w:pPr>
      <w:r>
        <w:rPr>
          <w:rFonts w:hint="eastAsia" w:ascii="仿宋" w:hAnsi="仿宋" w:eastAsia="仿宋" w:cs="宋体"/>
          <w:b/>
          <w:sz w:val="32"/>
          <w:szCs w:val="32"/>
        </w:rPr>
        <w:t>1．收入支出与预算对比分析。</w:t>
      </w:r>
    </w:p>
    <w:p>
      <w:pPr>
        <w:snapToGrid w:val="0"/>
        <w:spacing w:line="520" w:lineRule="exact"/>
        <w:ind w:firstLine="640" w:firstLineChars="200"/>
        <w:rPr>
          <w:rFonts w:ascii="仿宋" w:hAnsi="仿宋" w:eastAsia="仿宋" w:cs="宋体"/>
          <w:sz w:val="32"/>
          <w:szCs w:val="32"/>
        </w:rPr>
      </w:pPr>
      <w:r>
        <w:rPr>
          <w:rFonts w:hint="eastAsia" w:ascii="仿宋" w:hAnsi="仿宋" w:eastAsia="仿宋" w:cs="宋体"/>
          <w:sz w:val="32"/>
          <w:szCs w:val="32"/>
        </w:rPr>
        <w:t>（1）预、决算差异</w:t>
      </w:r>
    </w:p>
    <w:tbl>
      <w:tblPr>
        <w:tblStyle w:val="5"/>
        <w:tblW w:w="0" w:type="auto"/>
        <w:tblInd w:w="93" w:type="dxa"/>
        <w:tblLayout w:type="fixed"/>
        <w:tblCellMar>
          <w:top w:w="0" w:type="dxa"/>
          <w:left w:w="108" w:type="dxa"/>
          <w:bottom w:w="0" w:type="dxa"/>
          <w:right w:w="108" w:type="dxa"/>
        </w:tblCellMar>
      </w:tblPr>
      <w:tblGrid>
        <w:gridCol w:w="780"/>
        <w:gridCol w:w="580"/>
        <w:gridCol w:w="1960"/>
        <w:gridCol w:w="960"/>
        <w:gridCol w:w="2080"/>
        <w:gridCol w:w="640"/>
        <w:gridCol w:w="1180"/>
        <w:gridCol w:w="1040"/>
      </w:tblGrid>
      <w:tr>
        <w:tblPrEx>
          <w:tblCellMar>
            <w:top w:w="0" w:type="dxa"/>
            <w:left w:w="108" w:type="dxa"/>
            <w:bottom w:w="0" w:type="dxa"/>
            <w:right w:w="108" w:type="dxa"/>
          </w:tblCellMar>
        </w:tblPrEx>
        <w:trPr>
          <w:trHeight w:val="540" w:hRule="atLeast"/>
        </w:trPr>
        <w:tc>
          <w:tcPr>
            <w:tcW w:w="9220" w:type="dxa"/>
            <w:gridSpan w:val="8"/>
            <w:tcBorders>
              <w:top w:val="nil"/>
              <w:left w:val="nil"/>
              <w:bottom w:val="nil"/>
              <w:right w:val="nil"/>
            </w:tcBorders>
            <w:vAlign w:val="bottom"/>
          </w:tcPr>
          <w:p>
            <w:pPr>
              <w:widowControl/>
              <w:kinsoku w:val="0"/>
              <w:autoSpaceDE w:val="0"/>
              <w:autoSpaceDN w:val="0"/>
              <w:rPr>
                <w:rFonts w:ascii="仿宋" w:hAnsi="仿宋" w:eastAsia="仿宋" w:cs="宋体"/>
                <w:bCs/>
                <w:color w:val="000000"/>
                <w:kern w:val="0"/>
                <w:sz w:val="32"/>
                <w:szCs w:val="32"/>
              </w:rPr>
            </w:pPr>
          </w:p>
        </w:tc>
      </w:tr>
      <w:tr>
        <w:tblPrEx>
          <w:tblCellMar>
            <w:top w:w="0" w:type="dxa"/>
            <w:left w:w="108" w:type="dxa"/>
            <w:bottom w:w="0" w:type="dxa"/>
            <w:right w:w="108" w:type="dxa"/>
          </w:tblCellMar>
        </w:tblPrEx>
        <w:trPr>
          <w:trHeight w:val="255" w:hRule="atLeast"/>
        </w:trPr>
        <w:tc>
          <w:tcPr>
            <w:tcW w:w="4280" w:type="dxa"/>
            <w:gridSpan w:val="4"/>
            <w:tcBorders>
              <w:top w:val="nil"/>
              <w:left w:val="nil"/>
              <w:bottom w:val="nil"/>
              <w:right w:val="nil"/>
            </w:tcBorders>
            <w:vAlign w:val="bottom"/>
          </w:tcPr>
          <w:p>
            <w:pPr>
              <w:widowControl/>
              <w:kinsoku w:val="0"/>
              <w:autoSpaceDE w:val="0"/>
              <w:autoSpaceDN w:val="0"/>
              <w:jc w:val="left"/>
              <w:rPr>
                <w:rFonts w:ascii="仿宋" w:hAnsi="仿宋" w:eastAsia="仿宋" w:cs="宋体"/>
                <w:bCs/>
                <w:color w:val="000000"/>
                <w:kern w:val="0"/>
                <w:sz w:val="32"/>
                <w:szCs w:val="32"/>
              </w:rPr>
            </w:pPr>
          </w:p>
        </w:tc>
        <w:tc>
          <w:tcPr>
            <w:tcW w:w="2080" w:type="dxa"/>
            <w:tcBorders>
              <w:top w:val="nil"/>
              <w:left w:val="nil"/>
              <w:bottom w:val="nil"/>
              <w:right w:val="nil"/>
            </w:tcBorders>
            <w:vAlign w:val="bottom"/>
          </w:tcPr>
          <w:p>
            <w:pPr>
              <w:widowControl/>
              <w:kinsoku w:val="0"/>
              <w:autoSpaceDE w:val="0"/>
              <w:autoSpaceDN w:val="0"/>
              <w:jc w:val="left"/>
              <w:rPr>
                <w:rFonts w:ascii="仿宋" w:hAnsi="仿宋" w:eastAsia="仿宋" w:cs="宋体"/>
                <w:bCs/>
                <w:color w:val="000000"/>
                <w:kern w:val="0"/>
                <w:sz w:val="32"/>
                <w:szCs w:val="32"/>
              </w:rPr>
            </w:pPr>
          </w:p>
        </w:tc>
        <w:tc>
          <w:tcPr>
            <w:tcW w:w="640" w:type="dxa"/>
            <w:tcBorders>
              <w:top w:val="nil"/>
              <w:left w:val="nil"/>
              <w:bottom w:val="nil"/>
              <w:right w:val="nil"/>
            </w:tcBorders>
            <w:vAlign w:val="bottom"/>
          </w:tcPr>
          <w:p>
            <w:pPr>
              <w:widowControl/>
              <w:kinsoku w:val="0"/>
              <w:autoSpaceDE w:val="0"/>
              <w:autoSpaceDN w:val="0"/>
              <w:jc w:val="left"/>
              <w:rPr>
                <w:rFonts w:ascii="仿宋" w:hAnsi="仿宋" w:eastAsia="仿宋" w:cs="宋体"/>
                <w:bCs/>
                <w:color w:val="000000"/>
                <w:kern w:val="0"/>
                <w:sz w:val="32"/>
                <w:szCs w:val="32"/>
              </w:rPr>
            </w:pPr>
          </w:p>
        </w:tc>
        <w:tc>
          <w:tcPr>
            <w:tcW w:w="1180" w:type="dxa"/>
            <w:tcBorders>
              <w:top w:val="nil"/>
              <w:left w:val="nil"/>
              <w:bottom w:val="nil"/>
              <w:right w:val="nil"/>
            </w:tcBorders>
            <w:vAlign w:val="bottom"/>
          </w:tcPr>
          <w:p>
            <w:pPr>
              <w:widowControl/>
              <w:kinsoku w:val="0"/>
              <w:autoSpaceDE w:val="0"/>
              <w:autoSpaceDN w:val="0"/>
              <w:jc w:val="left"/>
              <w:rPr>
                <w:rFonts w:ascii="仿宋" w:hAnsi="仿宋" w:eastAsia="仿宋" w:cs="宋体"/>
                <w:bCs/>
                <w:color w:val="000000"/>
                <w:kern w:val="0"/>
                <w:sz w:val="32"/>
                <w:szCs w:val="32"/>
              </w:rPr>
            </w:pPr>
          </w:p>
        </w:tc>
        <w:tc>
          <w:tcPr>
            <w:tcW w:w="1040" w:type="dxa"/>
            <w:tcBorders>
              <w:top w:val="nil"/>
              <w:left w:val="nil"/>
              <w:bottom w:val="nil"/>
              <w:right w:val="nil"/>
            </w:tcBorders>
            <w:vAlign w:val="bottom"/>
          </w:tcPr>
          <w:p>
            <w:pPr>
              <w:widowControl/>
              <w:kinsoku w:val="0"/>
              <w:autoSpaceDE w:val="0"/>
              <w:autoSpaceDN w:val="0"/>
              <w:jc w:val="left"/>
              <w:rPr>
                <w:rFonts w:ascii="仿宋" w:hAnsi="仿宋" w:eastAsia="仿宋" w:cs="宋体"/>
                <w:bCs/>
                <w:color w:val="000000"/>
                <w:kern w:val="0"/>
                <w:sz w:val="32"/>
                <w:szCs w:val="32"/>
              </w:rPr>
            </w:pPr>
          </w:p>
        </w:tc>
      </w:tr>
      <w:tr>
        <w:tblPrEx>
          <w:tblCellMar>
            <w:top w:w="0" w:type="dxa"/>
            <w:left w:w="108" w:type="dxa"/>
            <w:bottom w:w="0" w:type="dxa"/>
            <w:right w:w="108" w:type="dxa"/>
          </w:tblCellMar>
        </w:tblPrEx>
        <w:trPr>
          <w:trHeight w:val="447" w:hRule="atLeast"/>
        </w:trPr>
        <w:tc>
          <w:tcPr>
            <w:tcW w:w="7000" w:type="dxa"/>
            <w:gridSpan w:val="6"/>
            <w:tcBorders>
              <w:top w:val="single" w:color="000000" w:sz="8" w:space="0"/>
              <w:left w:val="single" w:color="000000" w:sz="8" w:space="0"/>
              <w:bottom w:val="single" w:color="000000" w:sz="4" w:space="0"/>
              <w:right w:val="single" w:color="000000" w:sz="4" w:space="0"/>
            </w:tcBorders>
            <w:vAlign w:val="center"/>
          </w:tcPr>
          <w:p>
            <w:pPr>
              <w:widowControl/>
              <w:kinsoku w:val="0"/>
              <w:autoSpaceDE w:val="0"/>
              <w:autoSpaceDN w:val="0"/>
              <w:jc w:val="center"/>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评价指标</w:t>
            </w:r>
          </w:p>
        </w:tc>
        <w:tc>
          <w:tcPr>
            <w:tcW w:w="1180" w:type="dxa"/>
            <w:vMerge w:val="restart"/>
            <w:tcBorders>
              <w:top w:val="single" w:color="000000" w:sz="8" w:space="0"/>
              <w:left w:val="nil"/>
              <w:bottom w:val="single" w:color="000000" w:sz="4" w:space="0"/>
              <w:right w:val="single" w:color="000000" w:sz="4" w:space="0"/>
            </w:tcBorders>
            <w:vAlign w:val="center"/>
          </w:tcPr>
          <w:p>
            <w:pPr>
              <w:widowControl/>
              <w:kinsoku w:val="0"/>
              <w:autoSpaceDE w:val="0"/>
              <w:autoSpaceDN w:val="0"/>
              <w:jc w:val="center"/>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计算值</w:t>
            </w:r>
          </w:p>
        </w:tc>
        <w:tc>
          <w:tcPr>
            <w:tcW w:w="1040" w:type="dxa"/>
            <w:vMerge w:val="restart"/>
            <w:tcBorders>
              <w:top w:val="single" w:color="000000" w:sz="8" w:space="0"/>
              <w:left w:val="nil"/>
              <w:bottom w:val="single" w:color="000000" w:sz="4" w:space="0"/>
              <w:right w:val="single" w:color="000000" w:sz="4" w:space="0"/>
            </w:tcBorders>
            <w:vAlign w:val="center"/>
          </w:tcPr>
          <w:p>
            <w:pPr>
              <w:widowControl/>
              <w:kinsoku w:val="0"/>
              <w:autoSpaceDE w:val="0"/>
              <w:autoSpaceDN w:val="0"/>
              <w:jc w:val="center"/>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得分</w:t>
            </w:r>
          </w:p>
        </w:tc>
      </w:tr>
      <w:tr>
        <w:tblPrEx>
          <w:tblCellMar>
            <w:top w:w="0" w:type="dxa"/>
            <w:left w:w="108" w:type="dxa"/>
            <w:bottom w:w="0" w:type="dxa"/>
            <w:right w:w="108" w:type="dxa"/>
          </w:tblCellMar>
        </w:tblPrEx>
        <w:trPr>
          <w:trHeight w:val="447" w:hRule="atLeast"/>
        </w:trPr>
        <w:tc>
          <w:tcPr>
            <w:tcW w:w="1360" w:type="dxa"/>
            <w:gridSpan w:val="2"/>
            <w:tcBorders>
              <w:top w:val="single" w:color="000000" w:sz="4" w:space="0"/>
              <w:left w:val="single" w:color="000000" w:sz="8" w:space="0"/>
              <w:bottom w:val="single" w:color="000000" w:sz="4" w:space="0"/>
              <w:right w:val="single" w:color="000000" w:sz="4" w:space="0"/>
            </w:tcBorders>
            <w:vAlign w:val="center"/>
          </w:tcPr>
          <w:p>
            <w:pPr>
              <w:widowControl/>
              <w:kinsoku w:val="0"/>
              <w:autoSpaceDE w:val="0"/>
              <w:autoSpaceDN w:val="0"/>
              <w:jc w:val="center"/>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一级指标</w:t>
            </w:r>
          </w:p>
        </w:tc>
        <w:tc>
          <w:tcPr>
            <w:tcW w:w="2920" w:type="dxa"/>
            <w:gridSpan w:val="2"/>
            <w:tcBorders>
              <w:top w:val="single" w:color="000000" w:sz="4" w:space="0"/>
              <w:left w:val="nil"/>
              <w:bottom w:val="single" w:color="000000" w:sz="4" w:space="0"/>
              <w:right w:val="single" w:color="000000" w:sz="4" w:space="0"/>
            </w:tcBorders>
            <w:vAlign w:val="center"/>
          </w:tcPr>
          <w:p>
            <w:pPr>
              <w:widowControl/>
              <w:kinsoku w:val="0"/>
              <w:autoSpaceDE w:val="0"/>
              <w:autoSpaceDN w:val="0"/>
              <w:jc w:val="center"/>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二级指标</w:t>
            </w:r>
          </w:p>
        </w:tc>
        <w:tc>
          <w:tcPr>
            <w:tcW w:w="2720" w:type="dxa"/>
            <w:gridSpan w:val="2"/>
            <w:tcBorders>
              <w:top w:val="single" w:color="000000" w:sz="4" w:space="0"/>
              <w:left w:val="nil"/>
              <w:bottom w:val="single" w:color="000000" w:sz="4" w:space="0"/>
              <w:right w:val="single" w:color="000000" w:sz="4" w:space="0"/>
            </w:tcBorders>
            <w:vAlign w:val="center"/>
          </w:tcPr>
          <w:p>
            <w:pPr>
              <w:widowControl/>
              <w:kinsoku w:val="0"/>
              <w:autoSpaceDE w:val="0"/>
              <w:autoSpaceDN w:val="0"/>
              <w:jc w:val="center"/>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三级指标</w:t>
            </w:r>
          </w:p>
        </w:tc>
        <w:tc>
          <w:tcPr>
            <w:tcW w:w="1180" w:type="dxa"/>
            <w:vMerge w:val="continue"/>
            <w:tcBorders>
              <w:top w:val="single" w:color="000000" w:sz="8" w:space="0"/>
              <w:left w:val="nil"/>
              <w:bottom w:val="single" w:color="000000" w:sz="4" w:space="0"/>
              <w:right w:val="single" w:color="000000" w:sz="4" w:space="0"/>
            </w:tcBorders>
            <w:vAlign w:val="center"/>
          </w:tcPr>
          <w:p>
            <w:pPr>
              <w:kinsoku w:val="0"/>
              <w:autoSpaceDE w:val="0"/>
              <w:autoSpaceDN w:val="0"/>
              <w:rPr>
                <w:rFonts w:ascii="仿宋" w:hAnsi="仿宋" w:eastAsia="仿宋" w:cs="宋体"/>
                <w:bCs/>
                <w:sz w:val="32"/>
                <w:szCs w:val="32"/>
              </w:rPr>
            </w:pPr>
          </w:p>
        </w:tc>
        <w:tc>
          <w:tcPr>
            <w:tcW w:w="1040" w:type="dxa"/>
            <w:vMerge w:val="continue"/>
            <w:tcBorders>
              <w:top w:val="single" w:color="000000" w:sz="8" w:space="0"/>
              <w:left w:val="nil"/>
              <w:bottom w:val="single" w:color="000000" w:sz="4" w:space="0"/>
              <w:right w:val="single" w:color="000000" w:sz="4" w:space="0"/>
            </w:tcBorders>
            <w:vAlign w:val="center"/>
          </w:tcPr>
          <w:p>
            <w:pPr>
              <w:kinsoku w:val="0"/>
              <w:autoSpaceDE w:val="0"/>
              <w:autoSpaceDN w:val="0"/>
              <w:rPr>
                <w:rFonts w:ascii="仿宋" w:hAnsi="仿宋" w:eastAsia="仿宋" w:cs="宋体"/>
                <w:bCs/>
                <w:sz w:val="32"/>
                <w:szCs w:val="32"/>
              </w:rPr>
            </w:pPr>
          </w:p>
        </w:tc>
      </w:tr>
      <w:tr>
        <w:tblPrEx>
          <w:tblCellMar>
            <w:top w:w="0" w:type="dxa"/>
            <w:left w:w="108" w:type="dxa"/>
            <w:bottom w:w="0" w:type="dxa"/>
            <w:right w:w="108" w:type="dxa"/>
          </w:tblCellMar>
        </w:tblPrEx>
        <w:trPr>
          <w:trHeight w:val="516" w:hRule="atLeast"/>
        </w:trPr>
        <w:tc>
          <w:tcPr>
            <w:tcW w:w="780" w:type="dxa"/>
            <w:tcBorders>
              <w:top w:val="nil"/>
              <w:left w:val="single" w:color="000000" w:sz="8" w:space="0"/>
              <w:bottom w:val="single" w:color="000000" w:sz="4" w:space="0"/>
              <w:right w:val="single" w:color="000000" w:sz="4" w:space="0"/>
            </w:tcBorders>
            <w:vAlign w:val="center"/>
          </w:tcPr>
          <w:p>
            <w:pPr>
              <w:widowControl/>
              <w:kinsoku w:val="0"/>
              <w:autoSpaceDE w:val="0"/>
              <w:autoSpaceDN w:val="0"/>
              <w:jc w:val="center"/>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名称</w:t>
            </w:r>
          </w:p>
        </w:tc>
        <w:tc>
          <w:tcPr>
            <w:tcW w:w="580" w:type="dxa"/>
            <w:tcBorders>
              <w:top w:val="nil"/>
              <w:left w:val="nil"/>
              <w:bottom w:val="single" w:color="000000" w:sz="4" w:space="0"/>
              <w:right w:val="single" w:color="000000" w:sz="4" w:space="0"/>
            </w:tcBorders>
            <w:vAlign w:val="center"/>
          </w:tcPr>
          <w:p>
            <w:pPr>
              <w:widowControl/>
              <w:kinsoku w:val="0"/>
              <w:autoSpaceDE w:val="0"/>
              <w:autoSpaceDN w:val="0"/>
              <w:jc w:val="center"/>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权重</w:t>
            </w:r>
          </w:p>
        </w:tc>
        <w:tc>
          <w:tcPr>
            <w:tcW w:w="1960" w:type="dxa"/>
            <w:tcBorders>
              <w:top w:val="nil"/>
              <w:left w:val="nil"/>
              <w:bottom w:val="single" w:color="000000" w:sz="4" w:space="0"/>
              <w:right w:val="single" w:color="000000" w:sz="4" w:space="0"/>
            </w:tcBorders>
            <w:vAlign w:val="center"/>
          </w:tcPr>
          <w:p>
            <w:pPr>
              <w:widowControl/>
              <w:kinsoku w:val="0"/>
              <w:autoSpaceDE w:val="0"/>
              <w:autoSpaceDN w:val="0"/>
              <w:jc w:val="center"/>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名称</w:t>
            </w:r>
          </w:p>
        </w:tc>
        <w:tc>
          <w:tcPr>
            <w:tcW w:w="960" w:type="dxa"/>
            <w:tcBorders>
              <w:top w:val="nil"/>
              <w:left w:val="nil"/>
              <w:bottom w:val="single" w:color="000000" w:sz="4" w:space="0"/>
              <w:right w:val="single" w:color="000000" w:sz="4" w:space="0"/>
            </w:tcBorders>
            <w:vAlign w:val="center"/>
          </w:tcPr>
          <w:p>
            <w:pPr>
              <w:widowControl/>
              <w:kinsoku w:val="0"/>
              <w:autoSpaceDE w:val="0"/>
              <w:autoSpaceDN w:val="0"/>
              <w:jc w:val="center"/>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权重</w:t>
            </w:r>
          </w:p>
        </w:tc>
        <w:tc>
          <w:tcPr>
            <w:tcW w:w="2080" w:type="dxa"/>
            <w:tcBorders>
              <w:top w:val="nil"/>
              <w:left w:val="nil"/>
              <w:bottom w:val="single" w:color="000000" w:sz="4" w:space="0"/>
              <w:right w:val="single" w:color="000000" w:sz="4" w:space="0"/>
            </w:tcBorders>
            <w:vAlign w:val="center"/>
          </w:tcPr>
          <w:p>
            <w:pPr>
              <w:widowControl/>
              <w:kinsoku w:val="0"/>
              <w:autoSpaceDE w:val="0"/>
              <w:autoSpaceDN w:val="0"/>
              <w:jc w:val="center"/>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名称</w:t>
            </w:r>
          </w:p>
        </w:tc>
        <w:tc>
          <w:tcPr>
            <w:tcW w:w="640" w:type="dxa"/>
            <w:tcBorders>
              <w:top w:val="nil"/>
              <w:left w:val="nil"/>
              <w:bottom w:val="single" w:color="000000" w:sz="4" w:space="0"/>
              <w:right w:val="single" w:color="000000" w:sz="4" w:space="0"/>
            </w:tcBorders>
            <w:vAlign w:val="center"/>
          </w:tcPr>
          <w:p>
            <w:pPr>
              <w:widowControl/>
              <w:kinsoku w:val="0"/>
              <w:autoSpaceDE w:val="0"/>
              <w:autoSpaceDN w:val="0"/>
              <w:jc w:val="center"/>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权重</w:t>
            </w:r>
          </w:p>
        </w:tc>
        <w:tc>
          <w:tcPr>
            <w:tcW w:w="1180" w:type="dxa"/>
            <w:vMerge w:val="continue"/>
            <w:tcBorders>
              <w:top w:val="single" w:color="000000" w:sz="8" w:space="0"/>
              <w:left w:val="nil"/>
              <w:bottom w:val="single" w:color="000000" w:sz="4" w:space="0"/>
              <w:right w:val="single" w:color="000000" w:sz="4" w:space="0"/>
            </w:tcBorders>
            <w:vAlign w:val="center"/>
          </w:tcPr>
          <w:p>
            <w:pPr>
              <w:kinsoku w:val="0"/>
              <w:autoSpaceDE w:val="0"/>
              <w:autoSpaceDN w:val="0"/>
              <w:rPr>
                <w:rFonts w:ascii="仿宋" w:hAnsi="仿宋" w:eastAsia="仿宋" w:cs="宋体"/>
                <w:bCs/>
                <w:sz w:val="32"/>
                <w:szCs w:val="32"/>
              </w:rPr>
            </w:pPr>
          </w:p>
        </w:tc>
        <w:tc>
          <w:tcPr>
            <w:tcW w:w="1040" w:type="dxa"/>
            <w:vMerge w:val="continue"/>
            <w:tcBorders>
              <w:top w:val="single" w:color="000000" w:sz="8" w:space="0"/>
              <w:left w:val="nil"/>
              <w:bottom w:val="single" w:color="000000" w:sz="4" w:space="0"/>
              <w:right w:val="single" w:color="000000" w:sz="4" w:space="0"/>
            </w:tcBorders>
            <w:vAlign w:val="center"/>
          </w:tcPr>
          <w:p>
            <w:pPr>
              <w:kinsoku w:val="0"/>
              <w:autoSpaceDE w:val="0"/>
              <w:autoSpaceDN w:val="0"/>
              <w:rPr>
                <w:rFonts w:ascii="仿宋" w:hAnsi="仿宋" w:eastAsia="仿宋" w:cs="宋体"/>
                <w:bCs/>
                <w:sz w:val="32"/>
                <w:szCs w:val="32"/>
              </w:rPr>
            </w:pPr>
          </w:p>
        </w:tc>
      </w:tr>
      <w:tr>
        <w:tblPrEx>
          <w:tblCellMar>
            <w:top w:w="0" w:type="dxa"/>
            <w:left w:w="108" w:type="dxa"/>
            <w:bottom w:w="0" w:type="dxa"/>
            <w:right w:w="108" w:type="dxa"/>
          </w:tblCellMar>
        </w:tblPrEx>
        <w:trPr>
          <w:trHeight w:val="525" w:hRule="atLeast"/>
        </w:trPr>
        <w:tc>
          <w:tcPr>
            <w:tcW w:w="780" w:type="dxa"/>
            <w:vMerge w:val="restart"/>
            <w:tcBorders>
              <w:top w:val="nil"/>
              <w:left w:val="single" w:color="000000" w:sz="8" w:space="0"/>
              <w:bottom w:val="single" w:color="000000" w:sz="4" w:space="0"/>
              <w:right w:val="single" w:color="000000" w:sz="4" w:space="0"/>
            </w:tcBorders>
            <w:vAlign w:val="center"/>
          </w:tcPr>
          <w:p>
            <w:pPr>
              <w:widowControl/>
              <w:kinsoku w:val="0"/>
              <w:autoSpaceDE w:val="0"/>
              <w:autoSpaceDN w:val="0"/>
              <w:jc w:val="center"/>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预算编制及执行情况</w:t>
            </w:r>
          </w:p>
        </w:tc>
        <w:tc>
          <w:tcPr>
            <w:tcW w:w="580" w:type="dxa"/>
            <w:vMerge w:val="restart"/>
            <w:tcBorders>
              <w:top w:val="nil"/>
              <w:left w:val="nil"/>
              <w:bottom w:val="single" w:color="000000" w:sz="4" w:space="0"/>
              <w:right w:val="single" w:color="000000" w:sz="4" w:space="0"/>
            </w:tcBorders>
            <w:vAlign w:val="center"/>
          </w:tcPr>
          <w:p>
            <w:pPr>
              <w:widowControl/>
              <w:kinsoku w:val="0"/>
              <w:autoSpaceDE w:val="0"/>
              <w:autoSpaceDN w:val="0"/>
              <w:jc w:val="center"/>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80</w:t>
            </w:r>
          </w:p>
        </w:tc>
        <w:tc>
          <w:tcPr>
            <w:tcW w:w="1960" w:type="dxa"/>
            <w:vMerge w:val="restart"/>
            <w:tcBorders>
              <w:top w:val="nil"/>
              <w:left w:val="nil"/>
              <w:bottom w:val="single" w:color="000000" w:sz="4" w:space="0"/>
              <w:right w:val="single" w:color="000000" w:sz="4" w:space="0"/>
            </w:tcBorders>
            <w:vAlign w:val="center"/>
          </w:tcPr>
          <w:p>
            <w:pPr>
              <w:widowControl/>
              <w:kinsoku w:val="0"/>
              <w:autoSpaceDE w:val="0"/>
              <w:autoSpaceDN w:val="0"/>
              <w:jc w:val="center"/>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预算编制的准确完整性</w:t>
            </w:r>
          </w:p>
        </w:tc>
        <w:tc>
          <w:tcPr>
            <w:tcW w:w="960" w:type="dxa"/>
            <w:vMerge w:val="restart"/>
            <w:tcBorders>
              <w:top w:val="nil"/>
              <w:left w:val="nil"/>
              <w:bottom w:val="single" w:color="000000" w:sz="4" w:space="0"/>
              <w:right w:val="single" w:color="000000" w:sz="4" w:space="0"/>
            </w:tcBorders>
            <w:vAlign w:val="center"/>
          </w:tcPr>
          <w:p>
            <w:pPr>
              <w:widowControl/>
              <w:kinsoku w:val="0"/>
              <w:autoSpaceDE w:val="0"/>
              <w:autoSpaceDN w:val="0"/>
              <w:jc w:val="center"/>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30</w:t>
            </w:r>
          </w:p>
        </w:tc>
        <w:tc>
          <w:tcPr>
            <w:tcW w:w="2080" w:type="dxa"/>
            <w:tcBorders>
              <w:top w:val="nil"/>
              <w:left w:val="nil"/>
              <w:bottom w:val="single" w:color="000000" w:sz="4" w:space="0"/>
              <w:right w:val="single" w:color="000000" w:sz="4" w:space="0"/>
            </w:tcBorders>
            <w:vAlign w:val="center"/>
          </w:tcPr>
          <w:p>
            <w:pPr>
              <w:widowControl/>
              <w:kinsoku w:val="0"/>
              <w:autoSpaceDE w:val="0"/>
              <w:autoSpaceDN w:val="0"/>
              <w:jc w:val="left"/>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财政拨款收入预决算差异率</w:t>
            </w:r>
          </w:p>
        </w:tc>
        <w:tc>
          <w:tcPr>
            <w:tcW w:w="640" w:type="dxa"/>
            <w:tcBorders>
              <w:top w:val="nil"/>
              <w:left w:val="nil"/>
              <w:bottom w:val="single" w:color="000000" w:sz="4" w:space="0"/>
              <w:right w:val="single" w:color="000000" w:sz="4" w:space="0"/>
            </w:tcBorders>
            <w:vAlign w:val="center"/>
          </w:tcPr>
          <w:p>
            <w:pPr>
              <w:widowControl/>
              <w:kinsoku w:val="0"/>
              <w:autoSpaceDE w:val="0"/>
              <w:autoSpaceDN w:val="0"/>
              <w:jc w:val="center"/>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10</w:t>
            </w:r>
          </w:p>
        </w:tc>
        <w:tc>
          <w:tcPr>
            <w:tcW w:w="1180" w:type="dxa"/>
            <w:tcBorders>
              <w:top w:val="nil"/>
              <w:left w:val="nil"/>
              <w:bottom w:val="single" w:color="000000" w:sz="4" w:space="0"/>
              <w:right w:val="single" w:color="000000" w:sz="4" w:space="0"/>
            </w:tcBorders>
            <w:vAlign w:val="center"/>
          </w:tcPr>
          <w:p>
            <w:pPr>
              <w:widowControl/>
              <w:tabs>
                <w:tab w:val="left" w:pos="375"/>
              </w:tabs>
              <w:kinsoku w:val="0"/>
              <w:autoSpaceDE w:val="0"/>
              <w:autoSpaceDN w:val="0"/>
              <w:jc w:val="left"/>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ab/>
            </w:r>
          </w:p>
        </w:tc>
        <w:tc>
          <w:tcPr>
            <w:tcW w:w="1040" w:type="dxa"/>
            <w:tcBorders>
              <w:top w:val="nil"/>
              <w:left w:val="nil"/>
              <w:bottom w:val="single" w:color="000000" w:sz="4" w:space="0"/>
              <w:right w:val="single" w:color="000000" w:sz="4" w:space="0"/>
            </w:tcBorders>
            <w:vAlign w:val="center"/>
          </w:tcPr>
          <w:p>
            <w:pPr>
              <w:widowControl/>
              <w:kinsoku w:val="0"/>
              <w:autoSpaceDE w:val="0"/>
              <w:autoSpaceDN w:val="0"/>
              <w:jc w:val="right"/>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10</w:t>
            </w:r>
          </w:p>
        </w:tc>
      </w:tr>
      <w:tr>
        <w:tblPrEx>
          <w:tblCellMar>
            <w:top w:w="0" w:type="dxa"/>
            <w:left w:w="108" w:type="dxa"/>
            <w:bottom w:w="0" w:type="dxa"/>
            <w:right w:w="108" w:type="dxa"/>
          </w:tblCellMar>
        </w:tblPrEx>
        <w:trPr>
          <w:trHeight w:val="525" w:hRule="atLeast"/>
        </w:trPr>
        <w:tc>
          <w:tcPr>
            <w:tcW w:w="780" w:type="dxa"/>
            <w:vMerge w:val="continue"/>
            <w:tcBorders>
              <w:top w:val="nil"/>
              <w:left w:val="single" w:color="000000" w:sz="8" w:space="0"/>
              <w:bottom w:val="single" w:color="000000" w:sz="4" w:space="0"/>
              <w:right w:val="single" w:color="000000" w:sz="4" w:space="0"/>
            </w:tcBorders>
            <w:vAlign w:val="center"/>
          </w:tcPr>
          <w:p>
            <w:pPr>
              <w:kinsoku w:val="0"/>
              <w:autoSpaceDE w:val="0"/>
              <w:autoSpaceDN w:val="0"/>
              <w:rPr>
                <w:rFonts w:ascii="仿宋" w:hAnsi="仿宋" w:eastAsia="仿宋" w:cs="宋体"/>
                <w:bCs/>
                <w:sz w:val="32"/>
                <w:szCs w:val="32"/>
              </w:rPr>
            </w:pPr>
          </w:p>
        </w:tc>
        <w:tc>
          <w:tcPr>
            <w:tcW w:w="580" w:type="dxa"/>
            <w:vMerge w:val="continue"/>
            <w:tcBorders>
              <w:top w:val="nil"/>
              <w:left w:val="nil"/>
              <w:bottom w:val="single" w:color="000000" w:sz="4" w:space="0"/>
              <w:right w:val="single" w:color="000000" w:sz="4" w:space="0"/>
            </w:tcBorders>
            <w:vAlign w:val="center"/>
          </w:tcPr>
          <w:p>
            <w:pPr>
              <w:kinsoku w:val="0"/>
              <w:autoSpaceDE w:val="0"/>
              <w:autoSpaceDN w:val="0"/>
              <w:rPr>
                <w:rFonts w:ascii="仿宋" w:hAnsi="仿宋" w:eastAsia="仿宋" w:cs="宋体"/>
                <w:bCs/>
                <w:sz w:val="32"/>
                <w:szCs w:val="32"/>
              </w:rPr>
            </w:pPr>
          </w:p>
        </w:tc>
        <w:tc>
          <w:tcPr>
            <w:tcW w:w="1960" w:type="dxa"/>
            <w:vMerge w:val="continue"/>
            <w:tcBorders>
              <w:top w:val="nil"/>
              <w:left w:val="nil"/>
              <w:bottom w:val="single" w:color="000000" w:sz="4" w:space="0"/>
              <w:right w:val="single" w:color="000000" w:sz="4" w:space="0"/>
            </w:tcBorders>
            <w:vAlign w:val="center"/>
          </w:tcPr>
          <w:p>
            <w:pPr>
              <w:kinsoku w:val="0"/>
              <w:autoSpaceDE w:val="0"/>
              <w:autoSpaceDN w:val="0"/>
              <w:rPr>
                <w:rFonts w:ascii="仿宋" w:hAnsi="仿宋" w:eastAsia="仿宋" w:cs="宋体"/>
                <w:bCs/>
                <w:sz w:val="32"/>
                <w:szCs w:val="32"/>
              </w:rPr>
            </w:pPr>
          </w:p>
        </w:tc>
        <w:tc>
          <w:tcPr>
            <w:tcW w:w="960" w:type="dxa"/>
            <w:vMerge w:val="continue"/>
            <w:tcBorders>
              <w:top w:val="nil"/>
              <w:left w:val="nil"/>
              <w:bottom w:val="single" w:color="000000" w:sz="4" w:space="0"/>
              <w:right w:val="single" w:color="000000" w:sz="4" w:space="0"/>
            </w:tcBorders>
            <w:vAlign w:val="center"/>
          </w:tcPr>
          <w:p>
            <w:pPr>
              <w:kinsoku w:val="0"/>
              <w:autoSpaceDE w:val="0"/>
              <w:autoSpaceDN w:val="0"/>
              <w:rPr>
                <w:rFonts w:ascii="仿宋" w:hAnsi="仿宋" w:eastAsia="仿宋" w:cs="宋体"/>
                <w:bCs/>
                <w:sz w:val="32"/>
                <w:szCs w:val="32"/>
              </w:rPr>
            </w:pPr>
          </w:p>
        </w:tc>
        <w:tc>
          <w:tcPr>
            <w:tcW w:w="2080" w:type="dxa"/>
            <w:tcBorders>
              <w:top w:val="nil"/>
              <w:left w:val="nil"/>
              <w:bottom w:val="single" w:color="000000" w:sz="4" w:space="0"/>
              <w:right w:val="single" w:color="000000" w:sz="4" w:space="0"/>
            </w:tcBorders>
            <w:vAlign w:val="center"/>
          </w:tcPr>
          <w:p>
            <w:pPr>
              <w:widowControl/>
              <w:kinsoku w:val="0"/>
              <w:autoSpaceDE w:val="0"/>
              <w:autoSpaceDN w:val="0"/>
              <w:jc w:val="left"/>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非财政拨款收入预决算差异率</w:t>
            </w:r>
          </w:p>
        </w:tc>
        <w:tc>
          <w:tcPr>
            <w:tcW w:w="640" w:type="dxa"/>
            <w:tcBorders>
              <w:top w:val="nil"/>
              <w:left w:val="nil"/>
              <w:bottom w:val="single" w:color="000000" w:sz="4" w:space="0"/>
              <w:right w:val="single" w:color="000000" w:sz="4" w:space="0"/>
            </w:tcBorders>
            <w:vAlign w:val="center"/>
          </w:tcPr>
          <w:p>
            <w:pPr>
              <w:widowControl/>
              <w:kinsoku w:val="0"/>
              <w:autoSpaceDE w:val="0"/>
              <w:autoSpaceDN w:val="0"/>
              <w:jc w:val="center"/>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10</w:t>
            </w:r>
          </w:p>
        </w:tc>
        <w:tc>
          <w:tcPr>
            <w:tcW w:w="1180" w:type="dxa"/>
            <w:tcBorders>
              <w:top w:val="nil"/>
              <w:left w:val="nil"/>
              <w:bottom w:val="single" w:color="000000" w:sz="4" w:space="0"/>
              <w:right w:val="single" w:color="000000" w:sz="4" w:space="0"/>
            </w:tcBorders>
            <w:vAlign w:val="center"/>
          </w:tcPr>
          <w:p>
            <w:pPr>
              <w:widowControl/>
              <w:tabs>
                <w:tab w:val="center" w:pos="482"/>
                <w:tab w:val="right" w:pos="1304"/>
              </w:tabs>
              <w:kinsoku w:val="0"/>
              <w:autoSpaceDE w:val="0"/>
              <w:autoSpaceDN w:val="0"/>
              <w:jc w:val="left"/>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ab/>
            </w:r>
            <w:r>
              <w:rPr>
                <w:rFonts w:hint="eastAsia" w:ascii="仿宋" w:hAnsi="仿宋" w:eastAsia="仿宋" w:cs="宋体"/>
                <w:bCs/>
                <w:color w:val="000000"/>
                <w:kern w:val="0"/>
                <w:sz w:val="32"/>
                <w:szCs w:val="32"/>
              </w:rPr>
              <w:tab/>
            </w:r>
            <w:r>
              <w:rPr>
                <w:rFonts w:hint="eastAsia" w:ascii="仿宋" w:hAnsi="仿宋" w:eastAsia="仿宋" w:cs="宋体"/>
                <w:bCs/>
                <w:color w:val="000000"/>
                <w:kern w:val="0"/>
                <w:sz w:val="32"/>
                <w:szCs w:val="32"/>
              </w:rPr>
              <w:t>　</w:t>
            </w:r>
          </w:p>
        </w:tc>
        <w:tc>
          <w:tcPr>
            <w:tcW w:w="1040" w:type="dxa"/>
            <w:tcBorders>
              <w:top w:val="nil"/>
              <w:left w:val="nil"/>
              <w:bottom w:val="single" w:color="000000" w:sz="4" w:space="0"/>
              <w:right w:val="single" w:color="000000" w:sz="4" w:space="0"/>
            </w:tcBorders>
            <w:vAlign w:val="center"/>
          </w:tcPr>
          <w:p>
            <w:pPr>
              <w:widowControl/>
              <w:kinsoku w:val="0"/>
              <w:autoSpaceDE w:val="0"/>
              <w:autoSpaceDN w:val="0"/>
              <w:ind w:right="220"/>
              <w:jc w:val="right"/>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9</w:t>
            </w:r>
          </w:p>
        </w:tc>
      </w:tr>
      <w:tr>
        <w:tblPrEx>
          <w:tblCellMar>
            <w:top w:w="0" w:type="dxa"/>
            <w:left w:w="108" w:type="dxa"/>
            <w:bottom w:w="0" w:type="dxa"/>
            <w:right w:w="108" w:type="dxa"/>
          </w:tblCellMar>
        </w:tblPrEx>
        <w:trPr>
          <w:trHeight w:val="525" w:hRule="atLeast"/>
        </w:trPr>
        <w:tc>
          <w:tcPr>
            <w:tcW w:w="780" w:type="dxa"/>
            <w:vMerge w:val="continue"/>
            <w:tcBorders>
              <w:top w:val="nil"/>
              <w:left w:val="single" w:color="000000" w:sz="8" w:space="0"/>
              <w:bottom w:val="single" w:color="000000" w:sz="4" w:space="0"/>
              <w:right w:val="single" w:color="000000" w:sz="4" w:space="0"/>
            </w:tcBorders>
            <w:vAlign w:val="center"/>
          </w:tcPr>
          <w:p>
            <w:pPr>
              <w:kinsoku w:val="0"/>
              <w:autoSpaceDE w:val="0"/>
              <w:autoSpaceDN w:val="0"/>
              <w:rPr>
                <w:rFonts w:ascii="仿宋" w:hAnsi="仿宋" w:eastAsia="仿宋" w:cs="宋体"/>
                <w:bCs/>
                <w:sz w:val="32"/>
                <w:szCs w:val="32"/>
              </w:rPr>
            </w:pPr>
          </w:p>
        </w:tc>
        <w:tc>
          <w:tcPr>
            <w:tcW w:w="580" w:type="dxa"/>
            <w:vMerge w:val="continue"/>
            <w:tcBorders>
              <w:top w:val="nil"/>
              <w:left w:val="nil"/>
              <w:bottom w:val="single" w:color="000000" w:sz="4" w:space="0"/>
              <w:right w:val="single" w:color="000000" w:sz="4" w:space="0"/>
            </w:tcBorders>
            <w:vAlign w:val="center"/>
          </w:tcPr>
          <w:p>
            <w:pPr>
              <w:kinsoku w:val="0"/>
              <w:autoSpaceDE w:val="0"/>
              <w:autoSpaceDN w:val="0"/>
              <w:rPr>
                <w:rFonts w:ascii="仿宋" w:hAnsi="仿宋" w:eastAsia="仿宋" w:cs="宋体"/>
                <w:bCs/>
                <w:sz w:val="32"/>
                <w:szCs w:val="32"/>
              </w:rPr>
            </w:pPr>
          </w:p>
        </w:tc>
        <w:tc>
          <w:tcPr>
            <w:tcW w:w="1960" w:type="dxa"/>
            <w:vMerge w:val="continue"/>
            <w:tcBorders>
              <w:top w:val="nil"/>
              <w:left w:val="nil"/>
              <w:bottom w:val="single" w:color="000000" w:sz="4" w:space="0"/>
              <w:right w:val="single" w:color="000000" w:sz="4" w:space="0"/>
            </w:tcBorders>
            <w:vAlign w:val="center"/>
          </w:tcPr>
          <w:p>
            <w:pPr>
              <w:kinsoku w:val="0"/>
              <w:autoSpaceDE w:val="0"/>
              <w:autoSpaceDN w:val="0"/>
              <w:rPr>
                <w:rFonts w:ascii="仿宋" w:hAnsi="仿宋" w:eastAsia="仿宋" w:cs="宋体"/>
                <w:bCs/>
                <w:sz w:val="32"/>
                <w:szCs w:val="32"/>
              </w:rPr>
            </w:pPr>
          </w:p>
        </w:tc>
        <w:tc>
          <w:tcPr>
            <w:tcW w:w="960" w:type="dxa"/>
            <w:vMerge w:val="continue"/>
            <w:tcBorders>
              <w:top w:val="nil"/>
              <w:left w:val="nil"/>
              <w:bottom w:val="single" w:color="000000" w:sz="4" w:space="0"/>
              <w:right w:val="single" w:color="000000" w:sz="4" w:space="0"/>
            </w:tcBorders>
            <w:vAlign w:val="center"/>
          </w:tcPr>
          <w:p>
            <w:pPr>
              <w:kinsoku w:val="0"/>
              <w:autoSpaceDE w:val="0"/>
              <w:autoSpaceDN w:val="0"/>
              <w:rPr>
                <w:rFonts w:ascii="仿宋" w:hAnsi="仿宋" w:eastAsia="仿宋" w:cs="宋体"/>
                <w:bCs/>
                <w:sz w:val="32"/>
                <w:szCs w:val="32"/>
              </w:rPr>
            </w:pPr>
          </w:p>
        </w:tc>
        <w:tc>
          <w:tcPr>
            <w:tcW w:w="2080" w:type="dxa"/>
            <w:tcBorders>
              <w:top w:val="nil"/>
              <w:left w:val="nil"/>
              <w:bottom w:val="single" w:color="000000" w:sz="4" w:space="0"/>
              <w:right w:val="single" w:color="000000" w:sz="4" w:space="0"/>
            </w:tcBorders>
            <w:vAlign w:val="center"/>
          </w:tcPr>
          <w:p>
            <w:pPr>
              <w:widowControl/>
              <w:kinsoku w:val="0"/>
              <w:autoSpaceDE w:val="0"/>
              <w:autoSpaceDN w:val="0"/>
              <w:jc w:val="left"/>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年初结转和结余预决算差异率</w:t>
            </w:r>
          </w:p>
        </w:tc>
        <w:tc>
          <w:tcPr>
            <w:tcW w:w="640" w:type="dxa"/>
            <w:tcBorders>
              <w:top w:val="nil"/>
              <w:left w:val="nil"/>
              <w:bottom w:val="single" w:color="000000" w:sz="4" w:space="0"/>
              <w:right w:val="single" w:color="000000" w:sz="4" w:space="0"/>
            </w:tcBorders>
            <w:vAlign w:val="center"/>
          </w:tcPr>
          <w:p>
            <w:pPr>
              <w:widowControl/>
              <w:kinsoku w:val="0"/>
              <w:autoSpaceDE w:val="0"/>
              <w:autoSpaceDN w:val="0"/>
              <w:jc w:val="center"/>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5</w:t>
            </w:r>
          </w:p>
        </w:tc>
        <w:tc>
          <w:tcPr>
            <w:tcW w:w="1180" w:type="dxa"/>
            <w:tcBorders>
              <w:top w:val="nil"/>
              <w:left w:val="nil"/>
              <w:bottom w:val="single" w:color="000000" w:sz="4" w:space="0"/>
              <w:right w:val="single" w:color="000000" w:sz="4" w:space="0"/>
            </w:tcBorders>
            <w:vAlign w:val="center"/>
          </w:tcPr>
          <w:p>
            <w:pPr>
              <w:widowControl/>
              <w:kinsoku w:val="0"/>
              <w:autoSpaceDE w:val="0"/>
              <w:autoSpaceDN w:val="0"/>
              <w:jc w:val="right"/>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ab/>
            </w:r>
            <w:r>
              <w:rPr>
                <w:rFonts w:hint="eastAsia" w:ascii="仿宋" w:hAnsi="仿宋" w:eastAsia="仿宋" w:cs="宋体"/>
                <w:bCs/>
                <w:color w:val="000000"/>
                <w:kern w:val="0"/>
                <w:sz w:val="32"/>
                <w:szCs w:val="32"/>
              </w:rPr>
              <w:t>　</w:t>
            </w:r>
          </w:p>
        </w:tc>
        <w:tc>
          <w:tcPr>
            <w:tcW w:w="1040" w:type="dxa"/>
            <w:tcBorders>
              <w:top w:val="nil"/>
              <w:left w:val="nil"/>
              <w:bottom w:val="single" w:color="000000" w:sz="4" w:space="0"/>
              <w:right w:val="single" w:color="000000" w:sz="4" w:space="0"/>
            </w:tcBorders>
            <w:vAlign w:val="center"/>
          </w:tcPr>
          <w:p>
            <w:pPr>
              <w:widowControl/>
              <w:kinsoku w:val="0"/>
              <w:autoSpaceDE w:val="0"/>
              <w:autoSpaceDN w:val="0"/>
              <w:jc w:val="right"/>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5</w:t>
            </w:r>
          </w:p>
        </w:tc>
      </w:tr>
      <w:tr>
        <w:tblPrEx>
          <w:tblCellMar>
            <w:top w:w="0" w:type="dxa"/>
            <w:left w:w="108" w:type="dxa"/>
            <w:bottom w:w="0" w:type="dxa"/>
            <w:right w:w="108" w:type="dxa"/>
          </w:tblCellMar>
        </w:tblPrEx>
        <w:trPr>
          <w:trHeight w:val="519" w:hRule="atLeast"/>
        </w:trPr>
        <w:tc>
          <w:tcPr>
            <w:tcW w:w="780" w:type="dxa"/>
            <w:vMerge w:val="continue"/>
            <w:tcBorders>
              <w:top w:val="nil"/>
              <w:left w:val="single" w:color="000000" w:sz="8" w:space="0"/>
              <w:bottom w:val="single" w:color="000000" w:sz="4" w:space="0"/>
              <w:right w:val="single" w:color="000000" w:sz="4" w:space="0"/>
            </w:tcBorders>
            <w:vAlign w:val="center"/>
          </w:tcPr>
          <w:p>
            <w:pPr>
              <w:kinsoku w:val="0"/>
              <w:autoSpaceDE w:val="0"/>
              <w:autoSpaceDN w:val="0"/>
              <w:rPr>
                <w:rFonts w:ascii="仿宋" w:hAnsi="仿宋" w:eastAsia="仿宋" w:cs="宋体"/>
                <w:bCs/>
                <w:sz w:val="32"/>
                <w:szCs w:val="32"/>
              </w:rPr>
            </w:pPr>
          </w:p>
        </w:tc>
        <w:tc>
          <w:tcPr>
            <w:tcW w:w="580" w:type="dxa"/>
            <w:vMerge w:val="continue"/>
            <w:tcBorders>
              <w:top w:val="nil"/>
              <w:left w:val="nil"/>
              <w:bottom w:val="single" w:color="000000" w:sz="4" w:space="0"/>
              <w:right w:val="single" w:color="000000" w:sz="4" w:space="0"/>
            </w:tcBorders>
            <w:vAlign w:val="center"/>
          </w:tcPr>
          <w:p>
            <w:pPr>
              <w:kinsoku w:val="0"/>
              <w:autoSpaceDE w:val="0"/>
              <w:autoSpaceDN w:val="0"/>
              <w:rPr>
                <w:rFonts w:ascii="仿宋" w:hAnsi="仿宋" w:eastAsia="仿宋" w:cs="宋体"/>
                <w:bCs/>
                <w:sz w:val="32"/>
                <w:szCs w:val="32"/>
              </w:rPr>
            </w:pPr>
          </w:p>
        </w:tc>
        <w:tc>
          <w:tcPr>
            <w:tcW w:w="1960" w:type="dxa"/>
            <w:vMerge w:val="continue"/>
            <w:tcBorders>
              <w:top w:val="nil"/>
              <w:left w:val="nil"/>
              <w:bottom w:val="single" w:color="000000" w:sz="4" w:space="0"/>
              <w:right w:val="single" w:color="000000" w:sz="4" w:space="0"/>
            </w:tcBorders>
            <w:vAlign w:val="center"/>
          </w:tcPr>
          <w:p>
            <w:pPr>
              <w:kinsoku w:val="0"/>
              <w:autoSpaceDE w:val="0"/>
              <w:autoSpaceDN w:val="0"/>
              <w:rPr>
                <w:rFonts w:ascii="仿宋" w:hAnsi="仿宋" w:eastAsia="仿宋" w:cs="宋体"/>
                <w:bCs/>
                <w:sz w:val="32"/>
                <w:szCs w:val="32"/>
              </w:rPr>
            </w:pPr>
          </w:p>
        </w:tc>
        <w:tc>
          <w:tcPr>
            <w:tcW w:w="960" w:type="dxa"/>
            <w:vMerge w:val="continue"/>
            <w:tcBorders>
              <w:top w:val="nil"/>
              <w:left w:val="nil"/>
              <w:bottom w:val="single" w:color="000000" w:sz="4" w:space="0"/>
              <w:right w:val="single" w:color="000000" w:sz="4" w:space="0"/>
            </w:tcBorders>
            <w:vAlign w:val="center"/>
          </w:tcPr>
          <w:p>
            <w:pPr>
              <w:kinsoku w:val="0"/>
              <w:autoSpaceDE w:val="0"/>
              <w:autoSpaceDN w:val="0"/>
              <w:rPr>
                <w:rFonts w:ascii="仿宋" w:hAnsi="仿宋" w:eastAsia="仿宋" w:cs="宋体"/>
                <w:bCs/>
                <w:sz w:val="32"/>
                <w:szCs w:val="32"/>
              </w:rPr>
            </w:pPr>
          </w:p>
        </w:tc>
        <w:tc>
          <w:tcPr>
            <w:tcW w:w="2080" w:type="dxa"/>
            <w:tcBorders>
              <w:top w:val="nil"/>
              <w:left w:val="nil"/>
              <w:bottom w:val="single" w:color="000000" w:sz="4" w:space="0"/>
              <w:right w:val="single" w:color="000000" w:sz="4" w:space="0"/>
            </w:tcBorders>
            <w:vAlign w:val="center"/>
          </w:tcPr>
          <w:p>
            <w:pPr>
              <w:widowControl/>
              <w:kinsoku w:val="0"/>
              <w:autoSpaceDE w:val="0"/>
              <w:autoSpaceDN w:val="0"/>
              <w:jc w:val="left"/>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基本支出预决算差异率</w:t>
            </w:r>
          </w:p>
        </w:tc>
        <w:tc>
          <w:tcPr>
            <w:tcW w:w="640" w:type="dxa"/>
            <w:tcBorders>
              <w:top w:val="nil"/>
              <w:left w:val="nil"/>
              <w:bottom w:val="single" w:color="000000" w:sz="4" w:space="0"/>
              <w:right w:val="single" w:color="000000" w:sz="4" w:space="0"/>
            </w:tcBorders>
            <w:vAlign w:val="center"/>
          </w:tcPr>
          <w:p>
            <w:pPr>
              <w:widowControl/>
              <w:kinsoku w:val="0"/>
              <w:autoSpaceDE w:val="0"/>
              <w:autoSpaceDN w:val="0"/>
              <w:jc w:val="center"/>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5</w:t>
            </w:r>
          </w:p>
        </w:tc>
        <w:tc>
          <w:tcPr>
            <w:tcW w:w="1180" w:type="dxa"/>
            <w:tcBorders>
              <w:top w:val="nil"/>
              <w:left w:val="nil"/>
              <w:bottom w:val="single" w:color="000000" w:sz="4" w:space="0"/>
              <w:right w:val="single" w:color="000000" w:sz="4" w:space="0"/>
            </w:tcBorders>
            <w:vAlign w:val="center"/>
          </w:tcPr>
          <w:p>
            <w:pPr>
              <w:widowControl/>
              <w:kinsoku w:val="0"/>
              <w:autoSpaceDE w:val="0"/>
              <w:autoSpaceDN w:val="0"/>
              <w:jc w:val="right"/>
              <w:rPr>
                <w:rFonts w:ascii="仿宋" w:hAnsi="仿宋" w:eastAsia="仿宋" w:cs="宋体"/>
                <w:bCs/>
                <w:color w:val="000000"/>
                <w:kern w:val="0"/>
                <w:sz w:val="32"/>
                <w:szCs w:val="32"/>
              </w:rPr>
            </w:pPr>
          </w:p>
        </w:tc>
        <w:tc>
          <w:tcPr>
            <w:tcW w:w="1040" w:type="dxa"/>
            <w:tcBorders>
              <w:top w:val="nil"/>
              <w:left w:val="nil"/>
              <w:bottom w:val="single" w:color="000000" w:sz="4" w:space="0"/>
              <w:right w:val="single" w:color="000000" w:sz="4" w:space="0"/>
            </w:tcBorders>
            <w:vAlign w:val="center"/>
          </w:tcPr>
          <w:p>
            <w:pPr>
              <w:widowControl/>
              <w:kinsoku w:val="0"/>
              <w:autoSpaceDE w:val="0"/>
              <w:autoSpaceDN w:val="0"/>
              <w:jc w:val="right"/>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4</w:t>
            </w:r>
          </w:p>
        </w:tc>
      </w:tr>
      <w:tr>
        <w:tblPrEx>
          <w:tblCellMar>
            <w:top w:w="0" w:type="dxa"/>
            <w:left w:w="108" w:type="dxa"/>
            <w:bottom w:w="0" w:type="dxa"/>
            <w:right w:w="108" w:type="dxa"/>
          </w:tblCellMar>
        </w:tblPrEx>
        <w:trPr>
          <w:trHeight w:val="525" w:hRule="atLeast"/>
        </w:trPr>
        <w:tc>
          <w:tcPr>
            <w:tcW w:w="780" w:type="dxa"/>
            <w:vMerge w:val="continue"/>
            <w:tcBorders>
              <w:top w:val="nil"/>
              <w:left w:val="single" w:color="000000" w:sz="8" w:space="0"/>
              <w:bottom w:val="single" w:color="000000" w:sz="4" w:space="0"/>
              <w:right w:val="single" w:color="000000" w:sz="4" w:space="0"/>
            </w:tcBorders>
            <w:vAlign w:val="center"/>
          </w:tcPr>
          <w:p>
            <w:pPr>
              <w:kinsoku w:val="0"/>
              <w:autoSpaceDE w:val="0"/>
              <w:autoSpaceDN w:val="0"/>
              <w:rPr>
                <w:rFonts w:ascii="仿宋" w:hAnsi="仿宋" w:eastAsia="仿宋" w:cs="宋体"/>
                <w:bCs/>
                <w:sz w:val="32"/>
                <w:szCs w:val="32"/>
              </w:rPr>
            </w:pPr>
          </w:p>
        </w:tc>
        <w:tc>
          <w:tcPr>
            <w:tcW w:w="580" w:type="dxa"/>
            <w:vMerge w:val="continue"/>
            <w:tcBorders>
              <w:top w:val="nil"/>
              <w:left w:val="nil"/>
              <w:bottom w:val="single" w:color="000000" w:sz="4" w:space="0"/>
              <w:right w:val="single" w:color="000000" w:sz="4" w:space="0"/>
            </w:tcBorders>
            <w:vAlign w:val="center"/>
          </w:tcPr>
          <w:p>
            <w:pPr>
              <w:kinsoku w:val="0"/>
              <w:autoSpaceDE w:val="0"/>
              <w:autoSpaceDN w:val="0"/>
              <w:rPr>
                <w:rFonts w:ascii="仿宋" w:hAnsi="仿宋" w:eastAsia="仿宋" w:cs="宋体"/>
                <w:bCs/>
                <w:sz w:val="32"/>
                <w:szCs w:val="32"/>
              </w:rPr>
            </w:pPr>
          </w:p>
        </w:tc>
        <w:tc>
          <w:tcPr>
            <w:tcW w:w="1960" w:type="dxa"/>
            <w:vMerge w:val="restart"/>
            <w:tcBorders>
              <w:top w:val="nil"/>
              <w:left w:val="nil"/>
              <w:bottom w:val="single" w:color="000000" w:sz="4" w:space="0"/>
              <w:right w:val="single" w:color="000000" w:sz="4" w:space="0"/>
            </w:tcBorders>
            <w:vAlign w:val="center"/>
          </w:tcPr>
          <w:p>
            <w:pPr>
              <w:widowControl/>
              <w:kinsoku w:val="0"/>
              <w:autoSpaceDE w:val="0"/>
              <w:autoSpaceDN w:val="0"/>
              <w:jc w:val="center"/>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预算执行的有效性</w:t>
            </w:r>
          </w:p>
        </w:tc>
        <w:tc>
          <w:tcPr>
            <w:tcW w:w="960" w:type="dxa"/>
            <w:vMerge w:val="restart"/>
            <w:tcBorders>
              <w:top w:val="nil"/>
              <w:left w:val="nil"/>
              <w:bottom w:val="single" w:color="000000" w:sz="4" w:space="0"/>
              <w:right w:val="single" w:color="000000" w:sz="4" w:space="0"/>
            </w:tcBorders>
            <w:vAlign w:val="center"/>
          </w:tcPr>
          <w:p>
            <w:pPr>
              <w:widowControl/>
              <w:kinsoku w:val="0"/>
              <w:autoSpaceDE w:val="0"/>
              <w:autoSpaceDN w:val="0"/>
              <w:jc w:val="center"/>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40</w:t>
            </w:r>
          </w:p>
        </w:tc>
        <w:tc>
          <w:tcPr>
            <w:tcW w:w="2080" w:type="dxa"/>
            <w:tcBorders>
              <w:top w:val="nil"/>
              <w:left w:val="nil"/>
              <w:bottom w:val="single" w:color="000000" w:sz="4" w:space="0"/>
              <w:right w:val="single" w:color="000000" w:sz="4" w:space="0"/>
            </w:tcBorders>
            <w:vAlign w:val="center"/>
          </w:tcPr>
          <w:p>
            <w:pPr>
              <w:widowControl/>
              <w:kinsoku w:val="0"/>
              <w:autoSpaceDE w:val="0"/>
              <w:autoSpaceDN w:val="0"/>
              <w:jc w:val="left"/>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基本支出人员经费预决算差异率</w:t>
            </w:r>
          </w:p>
        </w:tc>
        <w:tc>
          <w:tcPr>
            <w:tcW w:w="640" w:type="dxa"/>
            <w:tcBorders>
              <w:top w:val="nil"/>
              <w:left w:val="nil"/>
              <w:bottom w:val="single" w:color="000000" w:sz="4" w:space="0"/>
              <w:right w:val="single" w:color="000000" w:sz="4" w:space="0"/>
            </w:tcBorders>
            <w:vAlign w:val="center"/>
          </w:tcPr>
          <w:p>
            <w:pPr>
              <w:widowControl/>
              <w:kinsoku w:val="0"/>
              <w:autoSpaceDE w:val="0"/>
              <w:autoSpaceDN w:val="0"/>
              <w:jc w:val="center"/>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10</w:t>
            </w:r>
          </w:p>
        </w:tc>
        <w:tc>
          <w:tcPr>
            <w:tcW w:w="1180" w:type="dxa"/>
            <w:tcBorders>
              <w:top w:val="nil"/>
              <w:left w:val="nil"/>
              <w:bottom w:val="single" w:color="000000" w:sz="4" w:space="0"/>
              <w:right w:val="single" w:color="000000" w:sz="4" w:space="0"/>
            </w:tcBorders>
            <w:vAlign w:val="center"/>
          </w:tcPr>
          <w:p>
            <w:pPr>
              <w:widowControl/>
              <w:kinsoku w:val="0"/>
              <w:autoSpaceDE w:val="0"/>
              <w:autoSpaceDN w:val="0"/>
              <w:jc w:val="right"/>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　</w:t>
            </w:r>
          </w:p>
        </w:tc>
        <w:tc>
          <w:tcPr>
            <w:tcW w:w="1040" w:type="dxa"/>
            <w:tcBorders>
              <w:top w:val="nil"/>
              <w:left w:val="nil"/>
              <w:bottom w:val="single" w:color="000000" w:sz="4" w:space="0"/>
              <w:right w:val="single" w:color="000000" w:sz="4" w:space="0"/>
            </w:tcBorders>
            <w:vAlign w:val="center"/>
          </w:tcPr>
          <w:p>
            <w:pPr>
              <w:widowControl/>
              <w:kinsoku w:val="0"/>
              <w:autoSpaceDE w:val="0"/>
              <w:autoSpaceDN w:val="0"/>
              <w:jc w:val="right"/>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9</w:t>
            </w:r>
          </w:p>
        </w:tc>
      </w:tr>
      <w:tr>
        <w:tblPrEx>
          <w:tblCellMar>
            <w:top w:w="0" w:type="dxa"/>
            <w:left w:w="108" w:type="dxa"/>
            <w:bottom w:w="0" w:type="dxa"/>
            <w:right w:w="108" w:type="dxa"/>
          </w:tblCellMar>
        </w:tblPrEx>
        <w:trPr>
          <w:trHeight w:val="525" w:hRule="atLeast"/>
        </w:trPr>
        <w:tc>
          <w:tcPr>
            <w:tcW w:w="780" w:type="dxa"/>
            <w:vMerge w:val="continue"/>
            <w:tcBorders>
              <w:top w:val="nil"/>
              <w:left w:val="single" w:color="000000" w:sz="8" w:space="0"/>
              <w:bottom w:val="single" w:color="000000" w:sz="4" w:space="0"/>
              <w:right w:val="single" w:color="000000" w:sz="4" w:space="0"/>
            </w:tcBorders>
            <w:vAlign w:val="center"/>
          </w:tcPr>
          <w:p>
            <w:pPr>
              <w:kinsoku w:val="0"/>
              <w:autoSpaceDE w:val="0"/>
              <w:autoSpaceDN w:val="0"/>
              <w:rPr>
                <w:rFonts w:ascii="仿宋" w:hAnsi="仿宋" w:eastAsia="仿宋" w:cs="宋体"/>
                <w:bCs/>
                <w:sz w:val="32"/>
                <w:szCs w:val="32"/>
              </w:rPr>
            </w:pPr>
          </w:p>
        </w:tc>
        <w:tc>
          <w:tcPr>
            <w:tcW w:w="580" w:type="dxa"/>
            <w:vMerge w:val="continue"/>
            <w:tcBorders>
              <w:top w:val="nil"/>
              <w:left w:val="nil"/>
              <w:bottom w:val="single" w:color="000000" w:sz="4" w:space="0"/>
              <w:right w:val="single" w:color="000000" w:sz="4" w:space="0"/>
            </w:tcBorders>
            <w:vAlign w:val="center"/>
          </w:tcPr>
          <w:p>
            <w:pPr>
              <w:kinsoku w:val="0"/>
              <w:autoSpaceDE w:val="0"/>
              <w:autoSpaceDN w:val="0"/>
              <w:rPr>
                <w:rFonts w:ascii="仿宋" w:hAnsi="仿宋" w:eastAsia="仿宋" w:cs="宋体"/>
                <w:bCs/>
                <w:sz w:val="32"/>
                <w:szCs w:val="32"/>
              </w:rPr>
            </w:pPr>
          </w:p>
        </w:tc>
        <w:tc>
          <w:tcPr>
            <w:tcW w:w="1960" w:type="dxa"/>
            <w:vMerge w:val="continue"/>
            <w:tcBorders>
              <w:top w:val="nil"/>
              <w:left w:val="nil"/>
              <w:bottom w:val="single" w:color="000000" w:sz="4" w:space="0"/>
              <w:right w:val="single" w:color="000000" w:sz="4" w:space="0"/>
            </w:tcBorders>
            <w:vAlign w:val="center"/>
          </w:tcPr>
          <w:p>
            <w:pPr>
              <w:kinsoku w:val="0"/>
              <w:autoSpaceDE w:val="0"/>
              <w:autoSpaceDN w:val="0"/>
              <w:rPr>
                <w:rFonts w:ascii="仿宋" w:hAnsi="仿宋" w:eastAsia="仿宋" w:cs="宋体"/>
                <w:bCs/>
                <w:sz w:val="32"/>
                <w:szCs w:val="32"/>
              </w:rPr>
            </w:pPr>
          </w:p>
        </w:tc>
        <w:tc>
          <w:tcPr>
            <w:tcW w:w="960" w:type="dxa"/>
            <w:vMerge w:val="continue"/>
            <w:tcBorders>
              <w:top w:val="nil"/>
              <w:left w:val="nil"/>
              <w:bottom w:val="single" w:color="000000" w:sz="4" w:space="0"/>
              <w:right w:val="single" w:color="000000" w:sz="4" w:space="0"/>
            </w:tcBorders>
            <w:vAlign w:val="center"/>
          </w:tcPr>
          <w:p>
            <w:pPr>
              <w:kinsoku w:val="0"/>
              <w:autoSpaceDE w:val="0"/>
              <w:autoSpaceDN w:val="0"/>
              <w:rPr>
                <w:rFonts w:ascii="仿宋" w:hAnsi="仿宋" w:eastAsia="仿宋" w:cs="宋体"/>
                <w:bCs/>
                <w:sz w:val="32"/>
                <w:szCs w:val="32"/>
              </w:rPr>
            </w:pPr>
          </w:p>
        </w:tc>
        <w:tc>
          <w:tcPr>
            <w:tcW w:w="2080" w:type="dxa"/>
            <w:tcBorders>
              <w:top w:val="nil"/>
              <w:left w:val="nil"/>
              <w:bottom w:val="single" w:color="000000" w:sz="4" w:space="0"/>
              <w:right w:val="single" w:color="000000" w:sz="4" w:space="0"/>
            </w:tcBorders>
            <w:vAlign w:val="center"/>
          </w:tcPr>
          <w:p>
            <w:pPr>
              <w:widowControl/>
              <w:kinsoku w:val="0"/>
              <w:autoSpaceDE w:val="0"/>
              <w:autoSpaceDN w:val="0"/>
              <w:jc w:val="left"/>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基本支出公用经费预决算差异率</w:t>
            </w:r>
          </w:p>
        </w:tc>
        <w:tc>
          <w:tcPr>
            <w:tcW w:w="640" w:type="dxa"/>
            <w:tcBorders>
              <w:top w:val="nil"/>
              <w:left w:val="nil"/>
              <w:bottom w:val="single" w:color="000000" w:sz="4" w:space="0"/>
              <w:right w:val="single" w:color="000000" w:sz="4" w:space="0"/>
            </w:tcBorders>
            <w:vAlign w:val="center"/>
          </w:tcPr>
          <w:p>
            <w:pPr>
              <w:widowControl/>
              <w:kinsoku w:val="0"/>
              <w:autoSpaceDE w:val="0"/>
              <w:autoSpaceDN w:val="0"/>
              <w:jc w:val="center"/>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5</w:t>
            </w:r>
          </w:p>
        </w:tc>
        <w:tc>
          <w:tcPr>
            <w:tcW w:w="1180" w:type="dxa"/>
            <w:tcBorders>
              <w:top w:val="nil"/>
              <w:left w:val="nil"/>
              <w:bottom w:val="single" w:color="000000" w:sz="4" w:space="0"/>
              <w:right w:val="single" w:color="000000" w:sz="4" w:space="0"/>
            </w:tcBorders>
            <w:vAlign w:val="center"/>
          </w:tcPr>
          <w:p>
            <w:pPr>
              <w:widowControl/>
              <w:kinsoku w:val="0"/>
              <w:autoSpaceDE w:val="0"/>
              <w:autoSpaceDN w:val="0"/>
              <w:jc w:val="right"/>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　</w:t>
            </w:r>
          </w:p>
        </w:tc>
        <w:tc>
          <w:tcPr>
            <w:tcW w:w="1040" w:type="dxa"/>
            <w:tcBorders>
              <w:top w:val="nil"/>
              <w:left w:val="nil"/>
              <w:bottom w:val="single" w:color="000000" w:sz="4" w:space="0"/>
              <w:right w:val="single" w:color="000000" w:sz="4" w:space="0"/>
            </w:tcBorders>
            <w:vAlign w:val="center"/>
          </w:tcPr>
          <w:p>
            <w:pPr>
              <w:widowControl/>
              <w:kinsoku w:val="0"/>
              <w:autoSpaceDE w:val="0"/>
              <w:autoSpaceDN w:val="0"/>
              <w:jc w:val="right"/>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5</w:t>
            </w:r>
          </w:p>
        </w:tc>
      </w:tr>
      <w:tr>
        <w:tblPrEx>
          <w:tblCellMar>
            <w:top w:w="0" w:type="dxa"/>
            <w:left w:w="108" w:type="dxa"/>
            <w:bottom w:w="0" w:type="dxa"/>
            <w:right w:w="108" w:type="dxa"/>
          </w:tblCellMar>
        </w:tblPrEx>
        <w:trPr>
          <w:trHeight w:val="525" w:hRule="atLeast"/>
        </w:trPr>
        <w:tc>
          <w:tcPr>
            <w:tcW w:w="780" w:type="dxa"/>
            <w:vMerge w:val="continue"/>
            <w:tcBorders>
              <w:top w:val="nil"/>
              <w:left w:val="single" w:color="000000" w:sz="8" w:space="0"/>
              <w:bottom w:val="single" w:color="000000" w:sz="4" w:space="0"/>
              <w:right w:val="single" w:color="000000" w:sz="4" w:space="0"/>
            </w:tcBorders>
            <w:vAlign w:val="center"/>
          </w:tcPr>
          <w:p>
            <w:pPr>
              <w:kinsoku w:val="0"/>
              <w:autoSpaceDE w:val="0"/>
              <w:autoSpaceDN w:val="0"/>
              <w:rPr>
                <w:rFonts w:ascii="仿宋" w:hAnsi="仿宋" w:eastAsia="仿宋" w:cs="宋体"/>
                <w:bCs/>
                <w:sz w:val="32"/>
                <w:szCs w:val="32"/>
              </w:rPr>
            </w:pPr>
          </w:p>
        </w:tc>
        <w:tc>
          <w:tcPr>
            <w:tcW w:w="580" w:type="dxa"/>
            <w:vMerge w:val="continue"/>
            <w:tcBorders>
              <w:top w:val="nil"/>
              <w:left w:val="nil"/>
              <w:bottom w:val="single" w:color="000000" w:sz="4" w:space="0"/>
              <w:right w:val="single" w:color="000000" w:sz="4" w:space="0"/>
            </w:tcBorders>
            <w:vAlign w:val="center"/>
          </w:tcPr>
          <w:p>
            <w:pPr>
              <w:kinsoku w:val="0"/>
              <w:autoSpaceDE w:val="0"/>
              <w:autoSpaceDN w:val="0"/>
              <w:rPr>
                <w:rFonts w:ascii="仿宋" w:hAnsi="仿宋" w:eastAsia="仿宋" w:cs="宋体"/>
                <w:bCs/>
                <w:sz w:val="32"/>
                <w:szCs w:val="32"/>
              </w:rPr>
            </w:pPr>
          </w:p>
        </w:tc>
        <w:tc>
          <w:tcPr>
            <w:tcW w:w="1960" w:type="dxa"/>
            <w:vMerge w:val="continue"/>
            <w:tcBorders>
              <w:top w:val="nil"/>
              <w:left w:val="nil"/>
              <w:bottom w:val="single" w:color="000000" w:sz="4" w:space="0"/>
              <w:right w:val="single" w:color="000000" w:sz="4" w:space="0"/>
            </w:tcBorders>
            <w:vAlign w:val="center"/>
          </w:tcPr>
          <w:p>
            <w:pPr>
              <w:kinsoku w:val="0"/>
              <w:autoSpaceDE w:val="0"/>
              <w:autoSpaceDN w:val="0"/>
              <w:rPr>
                <w:rFonts w:ascii="仿宋" w:hAnsi="仿宋" w:eastAsia="仿宋" w:cs="宋体"/>
                <w:bCs/>
                <w:sz w:val="32"/>
                <w:szCs w:val="32"/>
              </w:rPr>
            </w:pPr>
          </w:p>
        </w:tc>
        <w:tc>
          <w:tcPr>
            <w:tcW w:w="960" w:type="dxa"/>
            <w:vMerge w:val="continue"/>
            <w:tcBorders>
              <w:top w:val="nil"/>
              <w:left w:val="nil"/>
              <w:bottom w:val="single" w:color="000000" w:sz="4" w:space="0"/>
              <w:right w:val="single" w:color="000000" w:sz="4" w:space="0"/>
            </w:tcBorders>
            <w:vAlign w:val="center"/>
          </w:tcPr>
          <w:p>
            <w:pPr>
              <w:kinsoku w:val="0"/>
              <w:autoSpaceDE w:val="0"/>
              <w:autoSpaceDN w:val="0"/>
              <w:rPr>
                <w:rFonts w:ascii="仿宋" w:hAnsi="仿宋" w:eastAsia="仿宋" w:cs="宋体"/>
                <w:bCs/>
                <w:sz w:val="32"/>
                <w:szCs w:val="32"/>
              </w:rPr>
            </w:pPr>
          </w:p>
        </w:tc>
        <w:tc>
          <w:tcPr>
            <w:tcW w:w="2080" w:type="dxa"/>
            <w:tcBorders>
              <w:top w:val="nil"/>
              <w:left w:val="nil"/>
              <w:bottom w:val="single" w:color="000000" w:sz="4" w:space="0"/>
              <w:right w:val="single" w:color="000000" w:sz="4" w:space="0"/>
            </w:tcBorders>
            <w:vAlign w:val="center"/>
          </w:tcPr>
          <w:p>
            <w:pPr>
              <w:widowControl/>
              <w:kinsoku w:val="0"/>
              <w:autoSpaceDE w:val="0"/>
              <w:autoSpaceDN w:val="0"/>
              <w:jc w:val="left"/>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财政拨款结转和结余率</w:t>
            </w:r>
          </w:p>
        </w:tc>
        <w:tc>
          <w:tcPr>
            <w:tcW w:w="640" w:type="dxa"/>
            <w:tcBorders>
              <w:top w:val="nil"/>
              <w:left w:val="nil"/>
              <w:bottom w:val="single" w:color="000000" w:sz="4" w:space="0"/>
              <w:right w:val="single" w:color="000000" w:sz="4" w:space="0"/>
            </w:tcBorders>
            <w:vAlign w:val="center"/>
          </w:tcPr>
          <w:p>
            <w:pPr>
              <w:widowControl/>
              <w:kinsoku w:val="0"/>
              <w:autoSpaceDE w:val="0"/>
              <w:autoSpaceDN w:val="0"/>
              <w:jc w:val="center"/>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10</w:t>
            </w:r>
          </w:p>
        </w:tc>
        <w:tc>
          <w:tcPr>
            <w:tcW w:w="1180" w:type="dxa"/>
            <w:tcBorders>
              <w:top w:val="nil"/>
              <w:left w:val="nil"/>
              <w:bottom w:val="single" w:color="000000" w:sz="4" w:space="0"/>
              <w:right w:val="single" w:color="000000" w:sz="4" w:space="0"/>
            </w:tcBorders>
            <w:vAlign w:val="center"/>
          </w:tcPr>
          <w:p>
            <w:pPr>
              <w:widowControl/>
              <w:kinsoku w:val="0"/>
              <w:autoSpaceDE w:val="0"/>
              <w:autoSpaceDN w:val="0"/>
              <w:jc w:val="right"/>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　</w:t>
            </w:r>
          </w:p>
        </w:tc>
        <w:tc>
          <w:tcPr>
            <w:tcW w:w="1040" w:type="dxa"/>
            <w:tcBorders>
              <w:top w:val="nil"/>
              <w:left w:val="nil"/>
              <w:bottom w:val="single" w:color="000000" w:sz="4" w:space="0"/>
              <w:right w:val="single" w:color="000000" w:sz="4" w:space="0"/>
            </w:tcBorders>
            <w:vAlign w:val="center"/>
          </w:tcPr>
          <w:p>
            <w:pPr>
              <w:widowControl/>
              <w:kinsoku w:val="0"/>
              <w:autoSpaceDE w:val="0"/>
              <w:autoSpaceDN w:val="0"/>
              <w:jc w:val="right"/>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10</w:t>
            </w:r>
          </w:p>
        </w:tc>
      </w:tr>
      <w:tr>
        <w:tblPrEx>
          <w:tblCellMar>
            <w:top w:w="0" w:type="dxa"/>
            <w:left w:w="108" w:type="dxa"/>
            <w:bottom w:w="0" w:type="dxa"/>
            <w:right w:w="108" w:type="dxa"/>
          </w:tblCellMar>
        </w:tblPrEx>
        <w:trPr>
          <w:trHeight w:val="525" w:hRule="atLeast"/>
        </w:trPr>
        <w:tc>
          <w:tcPr>
            <w:tcW w:w="780" w:type="dxa"/>
            <w:vMerge w:val="continue"/>
            <w:tcBorders>
              <w:top w:val="nil"/>
              <w:left w:val="single" w:color="000000" w:sz="8" w:space="0"/>
              <w:bottom w:val="single" w:color="000000" w:sz="4" w:space="0"/>
              <w:right w:val="single" w:color="000000" w:sz="4" w:space="0"/>
            </w:tcBorders>
            <w:vAlign w:val="center"/>
          </w:tcPr>
          <w:p>
            <w:pPr>
              <w:kinsoku w:val="0"/>
              <w:autoSpaceDE w:val="0"/>
              <w:autoSpaceDN w:val="0"/>
              <w:rPr>
                <w:rFonts w:ascii="仿宋" w:hAnsi="仿宋" w:eastAsia="仿宋" w:cs="宋体"/>
                <w:bCs/>
                <w:sz w:val="32"/>
                <w:szCs w:val="32"/>
              </w:rPr>
            </w:pPr>
          </w:p>
        </w:tc>
        <w:tc>
          <w:tcPr>
            <w:tcW w:w="580" w:type="dxa"/>
            <w:vMerge w:val="continue"/>
            <w:tcBorders>
              <w:top w:val="nil"/>
              <w:left w:val="nil"/>
              <w:bottom w:val="single" w:color="000000" w:sz="4" w:space="0"/>
              <w:right w:val="single" w:color="000000" w:sz="4" w:space="0"/>
            </w:tcBorders>
            <w:vAlign w:val="center"/>
          </w:tcPr>
          <w:p>
            <w:pPr>
              <w:kinsoku w:val="0"/>
              <w:autoSpaceDE w:val="0"/>
              <w:autoSpaceDN w:val="0"/>
              <w:rPr>
                <w:rFonts w:ascii="仿宋" w:hAnsi="仿宋" w:eastAsia="仿宋" w:cs="宋体"/>
                <w:bCs/>
                <w:sz w:val="32"/>
                <w:szCs w:val="32"/>
              </w:rPr>
            </w:pPr>
          </w:p>
        </w:tc>
        <w:tc>
          <w:tcPr>
            <w:tcW w:w="1960" w:type="dxa"/>
            <w:vMerge w:val="continue"/>
            <w:tcBorders>
              <w:top w:val="nil"/>
              <w:left w:val="nil"/>
              <w:bottom w:val="single" w:color="000000" w:sz="4" w:space="0"/>
              <w:right w:val="single" w:color="000000" w:sz="4" w:space="0"/>
            </w:tcBorders>
            <w:vAlign w:val="center"/>
          </w:tcPr>
          <w:p>
            <w:pPr>
              <w:kinsoku w:val="0"/>
              <w:autoSpaceDE w:val="0"/>
              <w:autoSpaceDN w:val="0"/>
              <w:rPr>
                <w:rFonts w:ascii="仿宋" w:hAnsi="仿宋" w:eastAsia="仿宋" w:cs="宋体"/>
                <w:bCs/>
                <w:sz w:val="32"/>
                <w:szCs w:val="32"/>
              </w:rPr>
            </w:pPr>
          </w:p>
        </w:tc>
        <w:tc>
          <w:tcPr>
            <w:tcW w:w="960" w:type="dxa"/>
            <w:vMerge w:val="continue"/>
            <w:tcBorders>
              <w:top w:val="nil"/>
              <w:left w:val="nil"/>
              <w:bottom w:val="single" w:color="000000" w:sz="4" w:space="0"/>
              <w:right w:val="single" w:color="000000" w:sz="4" w:space="0"/>
            </w:tcBorders>
            <w:vAlign w:val="center"/>
          </w:tcPr>
          <w:p>
            <w:pPr>
              <w:kinsoku w:val="0"/>
              <w:autoSpaceDE w:val="0"/>
              <w:autoSpaceDN w:val="0"/>
              <w:rPr>
                <w:rFonts w:ascii="仿宋" w:hAnsi="仿宋" w:eastAsia="仿宋" w:cs="宋体"/>
                <w:bCs/>
                <w:sz w:val="32"/>
                <w:szCs w:val="32"/>
              </w:rPr>
            </w:pPr>
          </w:p>
        </w:tc>
        <w:tc>
          <w:tcPr>
            <w:tcW w:w="2080" w:type="dxa"/>
            <w:tcBorders>
              <w:top w:val="nil"/>
              <w:left w:val="nil"/>
              <w:bottom w:val="single" w:color="000000" w:sz="4" w:space="0"/>
              <w:right w:val="single" w:color="000000" w:sz="4" w:space="0"/>
            </w:tcBorders>
            <w:vAlign w:val="center"/>
          </w:tcPr>
          <w:p>
            <w:pPr>
              <w:widowControl/>
              <w:kinsoku w:val="0"/>
              <w:autoSpaceDE w:val="0"/>
              <w:autoSpaceDN w:val="0"/>
              <w:jc w:val="left"/>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财政拨款结转和结余上下年变动率</w:t>
            </w:r>
          </w:p>
        </w:tc>
        <w:tc>
          <w:tcPr>
            <w:tcW w:w="640" w:type="dxa"/>
            <w:tcBorders>
              <w:top w:val="nil"/>
              <w:left w:val="nil"/>
              <w:bottom w:val="single" w:color="000000" w:sz="4" w:space="0"/>
              <w:right w:val="single" w:color="000000" w:sz="4" w:space="0"/>
            </w:tcBorders>
            <w:vAlign w:val="center"/>
          </w:tcPr>
          <w:p>
            <w:pPr>
              <w:widowControl/>
              <w:kinsoku w:val="0"/>
              <w:autoSpaceDE w:val="0"/>
              <w:autoSpaceDN w:val="0"/>
              <w:jc w:val="center"/>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5</w:t>
            </w:r>
          </w:p>
        </w:tc>
        <w:tc>
          <w:tcPr>
            <w:tcW w:w="1180" w:type="dxa"/>
            <w:tcBorders>
              <w:top w:val="nil"/>
              <w:left w:val="nil"/>
              <w:bottom w:val="single" w:color="000000" w:sz="4" w:space="0"/>
              <w:right w:val="single" w:color="000000" w:sz="4" w:space="0"/>
            </w:tcBorders>
            <w:vAlign w:val="center"/>
          </w:tcPr>
          <w:p>
            <w:pPr>
              <w:widowControl/>
              <w:kinsoku w:val="0"/>
              <w:autoSpaceDE w:val="0"/>
              <w:autoSpaceDN w:val="0"/>
              <w:jc w:val="right"/>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　</w:t>
            </w:r>
          </w:p>
        </w:tc>
        <w:tc>
          <w:tcPr>
            <w:tcW w:w="1040" w:type="dxa"/>
            <w:tcBorders>
              <w:top w:val="nil"/>
              <w:left w:val="nil"/>
              <w:bottom w:val="single" w:color="000000" w:sz="4" w:space="0"/>
              <w:right w:val="single" w:color="000000" w:sz="4" w:space="0"/>
            </w:tcBorders>
            <w:vAlign w:val="center"/>
          </w:tcPr>
          <w:p>
            <w:pPr>
              <w:widowControl/>
              <w:kinsoku w:val="0"/>
              <w:autoSpaceDE w:val="0"/>
              <w:autoSpaceDN w:val="0"/>
              <w:jc w:val="right"/>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5</w:t>
            </w:r>
          </w:p>
        </w:tc>
      </w:tr>
      <w:tr>
        <w:tblPrEx>
          <w:tblCellMar>
            <w:top w:w="0" w:type="dxa"/>
            <w:left w:w="108" w:type="dxa"/>
            <w:bottom w:w="0" w:type="dxa"/>
            <w:right w:w="108" w:type="dxa"/>
          </w:tblCellMar>
        </w:tblPrEx>
        <w:trPr>
          <w:trHeight w:val="525" w:hRule="atLeast"/>
        </w:trPr>
        <w:tc>
          <w:tcPr>
            <w:tcW w:w="780" w:type="dxa"/>
            <w:vMerge w:val="continue"/>
            <w:tcBorders>
              <w:top w:val="nil"/>
              <w:left w:val="single" w:color="000000" w:sz="8" w:space="0"/>
              <w:bottom w:val="single" w:color="000000" w:sz="4" w:space="0"/>
              <w:right w:val="single" w:color="000000" w:sz="4" w:space="0"/>
            </w:tcBorders>
            <w:vAlign w:val="center"/>
          </w:tcPr>
          <w:p>
            <w:pPr>
              <w:kinsoku w:val="0"/>
              <w:autoSpaceDE w:val="0"/>
              <w:autoSpaceDN w:val="0"/>
              <w:rPr>
                <w:rFonts w:ascii="仿宋" w:hAnsi="仿宋" w:eastAsia="仿宋" w:cs="宋体"/>
                <w:bCs/>
                <w:sz w:val="32"/>
                <w:szCs w:val="32"/>
              </w:rPr>
            </w:pPr>
          </w:p>
        </w:tc>
        <w:tc>
          <w:tcPr>
            <w:tcW w:w="580" w:type="dxa"/>
            <w:vMerge w:val="continue"/>
            <w:tcBorders>
              <w:top w:val="nil"/>
              <w:left w:val="nil"/>
              <w:bottom w:val="single" w:color="000000" w:sz="4" w:space="0"/>
              <w:right w:val="single" w:color="000000" w:sz="4" w:space="0"/>
            </w:tcBorders>
            <w:vAlign w:val="center"/>
          </w:tcPr>
          <w:p>
            <w:pPr>
              <w:kinsoku w:val="0"/>
              <w:autoSpaceDE w:val="0"/>
              <w:autoSpaceDN w:val="0"/>
              <w:rPr>
                <w:rFonts w:ascii="仿宋" w:hAnsi="仿宋" w:eastAsia="仿宋" w:cs="宋体"/>
                <w:bCs/>
                <w:sz w:val="32"/>
                <w:szCs w:val="32"/>
              </w:rPr>
            </w:pPr>
          </w:p>
        </w:tc>
        <w:tc>
          <w:tcPr>
            <w:tcW w:w="1960" w:type="dxa"/>
            <w:vMerge w:val="continue"/>
            <w:tcBorders>
              <w:top w:val="nil"/>
              <w:left w:val="nil"/>
              <w:bottom w:val="single" w:color="000000" w:sz="4" w:space="0"/>
              <w:right w:val="single" w:color="000000" w:sz="4" w:space="0"/>
            </w:tcBorders>
            <w:vAlign w:val="center"/>
          </w:tcPr>
          <w:p>
            <w:pPr>
              <w:kinsoku w:val="0"/>
              <w:autoSpaceDE w:val="0"/>
              <w:autoSpaceDN w:val="0"/>
              <w:rPr>
                <w:rFonts w:ascii="仿宋" w:hAnsi="仿宋" w:eastAsia="仿宋" w:cs="宋体"/>
                <w:bCs/>
                <w:sz w:val="32"/>
                <w:szCs w:val="32"/>
              </w:rPr>
            </w:pPr>
          </w:p>
        </w:tc>
        <w:tc>
          <w:tcPr>
            <w:tcW w:w="960" w:type="dxa"/>
            <w:vMerge w:val="continue"/>
            <w:tcBorders>
              <w:top w:val="nil"/>
              <w:left w:val="nil"/>
              <w:bottom w:val="single" w:color="000000" w:sz="4" w:space="0"/>
              <w:right w:val="single" w:color="000000" w:sz="4" w:space="0"/>
            </w:tcBorders>
            <w:vAlign w:val="center"/>
          </w:tcPr>
          <w:p>
            <w:pPr>
              <w:kinsoku w:val="0"/>
              <w:autoSpaceDE w:val="0"/>
              <w:autoSpaceDN w:val="0"/>
              <w:rPr>
                <w:rFonts w:ascii="仿宋" w:hAnsi="仿宋" w:eastAsia="仿宋" w:cs="宋体"/>
                <w:bCs/>
                <w:sz w:val="32"/>
                <w:szCs w:val="32"/>
              </w:rPr>
            </w:pPr>
          </w:p>
        </w:tc>
        <w:tc>
          <w:tcPr>
            <w:tcW w:w="2080" w:type="dxa"/>
            <w:tcBorders>
              <w:top w:val="nil"/>
              <w:left w:val="nil"/>
              <w:bottom w:val="single" w:color="000000" w:sz="4" w:space="0"/>
              <w:right w:val="single" w:color="000000" w:sz="4" w:space="0"/>
            </w:tcBorders>
            <w:vAlign w:val="center"/>
          </w:tcPr>
          <w:p>
            <w:pPr>
              <w:widowControl/>
              <w:kinsoku w:val="0"/>
              <w:autoSpaceDE w:val="0"/>
              <w:autoSpaceDN w:val="0"/>
              <w:jc w:val="left"/>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财政收回存量资金占上年财政拨款结转和结余比重</w:t>
            </w:r>
          </w:p>
        </w:tc>
        <w:tc>
          <w:tcPr>
            <w:tcW w:w="640" w:type="dxa"/>
            <w:tcBorders>
              <w:top w:val="nil"/>
              <w:left w:val="nil"/>
              <w:bottom w:val="single" w:color="000000" w:sz="4" w:space="0"/>
              <w:right w:val="single" w:color="000000" w:sz="4" w:space="0"/>
            </w:tcBorders>
            <w:vAlign w:val="center"/>
          </w:tcPr>
          <w:p>
            <w:pPr>
              <w:widowControl/>
              <w:kinsoku w:val="0"/>
              <w:autoSpaceDE w:val="0"/>
              <w:autoSpaceDN w:val="0"/>
              <w:jc w:val="center"/>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5</w:t>
            </w:r>
          </w:p>
        </w:tc>
        <w:tc>
          <w:tcPr>
            <w:tcW w:w="1180" w:type="dxa"/>
            <w:tcBorders>
              <w:top w:val="nil"/>
              <w:left w:val="nil"/>
              <w:bottom w:val="single" w:color="000000" w:sz="4" w:space="0"/>
              <w:right w:val="single" w:color="000000" w:sz="4" w:space="0"/>
            </w:tcBorders>
            <w:vAlign w:val="center"/>
          </w:tcPr>
          <w:p>
            <w:pPr>
              <w:widowControl/>
              <w:kinsoku w:val="0"/>
              <w:autoSpaceDE w:val="0"/>
              <w:autoSpaceDN w:val="0"/>
              <w:jc w:val="right"/>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　</w:t>
            </w:r>
          </w:p>
        </w:tc>
        <w:tc>
          <w:tcPr>
            <w:tcW w:w="1040" w:type="dxa"/>
            <w:tcBorders>
              <w:top w:val="nil"/>
              <w:left w:val="nil"/>
              <w:bottom w:val="single" w:color="000000" w:sz="4" w:space="0"/>
              <w:right w:val="single" w:color="000000" w:sz="4" w:space="0"/>
            </w:tcBorders>
            <w:vAlign w:val="center"/>
          </w:tcPr>
          <w:p>
            <w:pPr>
              <w:widowControl/>
              <w:kinsoku w:val="0"/>
              <w:autoSpaceDE w:val="0"/>
              <w:autoSpaceDN w:val="0"/>
              <w:jc w:val="right"/>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5</w:t>
            </w:r>
          </w:p>
        </w:tc>
      </w:tr>
      <w:tr>
        <w:tblPrEx>
          <w:tblCellMar>
            <w:top w:w="0" w:type="dxa"/>
            <w:left w:w="108" w:type="dxa"/>
            <w:bottom w:w="0" w:type="dxa"/>
            <w:right w:w="108" w:type="dxa"/>
          </w:tblCellMar>
        </w:tblPrEx>
        <w:trPr>
          <w:trHeight w:val="525" w:hRule="atLeast"/>
        </w:trPr>
        <w:tc>
          <w:tcPr>
            <w:tcW w:w="780" w:type="dxa"/>
            <w:vMerge w:val="continue"/>
            <w:tcBorders>
              <w:top w:val="nil"/>
              <w:left w:val="single" w:color="000000" w:sz="8" w:space="0"/>
              <w:bottom w:val="single" w:color="000000" w:sz="4" w:space="0"/>
              <w:right w:val="single" w:color="000000" w:sz="4" w:space="0"/>
            </w:tcBorders>
            <w:vAlign w:val="center"/>
          </w:tcPr>
          <w:p>
            <w:pPr>
              <w:kinsoku w:val="0"/>
              <w:autoSpaceDE w:val="0"/>
              <w:autoSpaceDN w:val="0"/>
              <w:rPr>
                <w:rFonts w:ascii="仿宋" w:hAnsi="仿宋" w:eastAsia="仿宋" w:cs="宋体"/>
                <w:bCs/>
                <w:sz w:val="32"/>
                <w:szCs w:val="32"/>
              </w:rPr>
            </w:pPr>
          </w:p>
        </w:tc>
        <w:tc>
          <w:tcPr>
            <w:tcW w:w="580" w:type="dxa"/>
            <w:vMerge w:val="continue"/>
            <w:tcBorders>
              <w:top w:val="nil"/>
              <w:left w:val="nil"/>
              <w:bottom w:val="single" w:color="000000" w:sz="4" w:space="0"/>
              <w:right w:val="single" w:color="000000" w:sz="4" w:space="0"/>
            </w:tcBorders>
            <w:vAlign w:val="center"/>
          </w:tcPr>
          <w:p>
            <w:pPr>
              <w:kinsoku w:val="0"/>
              <w:autoSpaceDE w:val="0"/>
              <w:autoSpaceDN w:val="0"/>
              <w:rPr>
                <w:rFonts w:ascii="仿宋" w:hAnsi="仿宋" w:eastAsia="仿宋" w:cs="宋体"/>
                <w:bCs/>
                <w:sz w:val="32"/>
                <w:szCs w:val="32"/>
              </w:rPr>
            </w:pPr>
          </w:p>
        </w:tc>
        <w:tc>
          <w:tcPr>
            <w:tcW w:w="1960" w:type="dxa"/>
            <w:vMerge w:val="continue"/>
            <w:tcBorders>
              <w:top w:val="nil"/>
              <w:left w:val="nil"/>
              <w:bottom w:val="single" w:color="000000" w:sz="4" w:space="0"/>
              <w:right w:val="single" w:color="000000" w:sz="4" w:space="0"/>
            </w:tcBorders>
            <w:vAlign w:val="center"/>
          </w:tcPr>
          <w:p>
            <w:pPr>
              <w:kinsoku w:val="0"/>
              <w:autoSpaceDE w:val="0"/>
              <w:autoSpaceDN w:val="0"/>
              <w:rPr>
                <w:rFonts w:ascii="仿宋" w:hAnsi="仿宋" w:eastAsia="仿宋" w:cs="宋体"/>
                <w:bCs/>
                <w:sz w:val="32"/>
                <w:szCs w:val="32"/>
              </w:rPr>
            </w:pPr>
          </w:p>
        </w:tc>
        <w:tc>
          <w:tcPr>
            <w:tcW w:w="960" w:type="dxa"/>
            <w:vMerge w:val="continue"/>
            <w:tcBorders>
              <w:top w:val="nil"/>
              <w:left w:val="nil"/>
              <w:bottom w:val="single" w:color="000000" w:sz="4" w:space="0"/>
              <w:right w:val="single" w:color="000000" w:sz="4" w:space="0"/>
            </w:tcBorders>
            <w:vAlign w:val="center"/>
          </w:tcPr>
          <w:p>
            <w:pPr>
              <w:kinsoku w:val="0"/>
              <w:autoSpaceDE w:val="0"/>
              <w:autoSpaceDN w:val="0"/>
              <w:rPr>
                <w:rFonts w:ascii="仿宋" w:hAnsi="仿宋" w:eastAsia="仿宋" w:cs="宋体"/>
                <w:bCs/>
                <w:sz w:val="32"/>
                <w:szCs w:val="32"/>
              </w:rPr>
            </w:pPr>
          </w:p>
        </w:tc>
        <w:tc>
          <w:tcPr>
            <w:tcW w:w="2080" w:type="dxa"/>
            <w:tcBorders>
              <w:top w:val="nil"/>
              <w:left w:val="nil"/>
              <w:bottom w:val="single" w:color="000000" w:sz="4" w:space="0"/>
              <w:right w:val="single" w:color="000000" w:sz="4" w:space="0"/>
            </w:tcBorders>
            <w:vAlign w:val="center"/>
          </w:tcPr>
          <w:p>
            <w:pPr>
              <w:widowControl/>
              <w:kinsoku w:val="0"/>
              <w:autoSpaceDE w:val="0"/>
              <w:autoSpaceDN w:val="0"/>
              <w:jc w:val="left"/>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“三公”经费支出预决算差异率</w:t>
            </w:r>
          </w:p>
        </w:tc>
        <w:tc>
          <w:tcPr>
            <w:tcW w:w="640" w:type="dxa"/>
            <w:tcBorders>
              <w:top w:val="nil"/>
              <w:left w:val="nil"/>
              <w:bottom w:val="single" w:color="000000" w:sz="4" w:space="0"/>
              <w:right w:val="single" w:color="000000" w:sz="4" w:space="0"/>
            </w:tcBorders>
            <w:vAlign w:val="center"/>
          </w:tcPr>
          <w:p>
            <w:pPr>
              <w:widowControl/>
              <w:kinsoku w:val="0"/>
              <w:autoSpaceDE w:val="0"/>
              <w:autoSpaceDN w:val="0"/>
              <w:jc w:val="center"/>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5</w:t>
            </w:r>
          </w:p>
        </w:tc>
        <w:tc>
          <w:tcPr>
            <w:tcW w:w="1180" w:type="dxa"/>
            <w:tcBorders>
              <w:top w:val="nil"/>
              <w:left w:val="nil"/>
              <w:bottom w:val="single" w:color="000000" w:sz="4" w:space="0"/>
              <w:right w:val="single" w:color="000000" w:sz="4" w:space="0"/>
            </w:tcBorders>
            <w:vAlign w:val="center"/>
          </w:tcPr>
          <w:p>
            <w:pPr>
              <w:widowControl/>
              <w:kinsoku w:val="0"/>
              <w:autoSpaceDE w:val="0"/>
              <w:autoSpaceDN w:val="0"/>
              <w:jc w:val="right"/>
              <w:rPr>
                <w:rFonts w:ascii="仿宋" w:hAnsi="仿宋" w:eastAsia="仿宋" w:cs="宋体"/>
                <w:bCs/>
                <w:color w:val="000000"/>
                <w:kern w:val="0"/>
                <w:sz w:val="32"/>
                <w:szCs w:val="32"/>
              </w:rPr>
            </w:pPr>
          </w:p>
        </w:tc>
        <w:tc>
          <w:tcPr>
            <w:tcW w:w="1040" w:type="dxa"/>
            <w:tcBorders>
              <w:top w:val="nil"/>
              <w:left w:val="nil"/>
              <w:bottom w:val="single" w:color="000000" w:sz="4" w:space="0"/>
              <w:right w:val="single" w:color="000000" w:sz="4" w:space="0"/>
            </w:tcBorders>
            <w:vAlign w:val="center"/>
          </w:tcPr>
          <w:p>
            <w:pPr>
              <w:widowControl/>
              <w:kinsoku w:val="0"/>
              <w:autoSpaceDE w:val="0"/>
              <w:autoSpaceDN w:val="0"/>
              <w:jc w:val="right"/>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5</w:t>
            </w:r>
          </w:p>
        </w:tc>
      </w:tr>
      <w:tr>
        <w:tblPrEx>
          <w:tblCellMar>
            <w:top w:w="0" w:type="dxa"/>
            <w:left w:w="108" w:type="dxa"/>
            <w:bottom w:w="0" w:type="dxa"/>
            <w:right w:w="108" w:type="dxa"/>
          </w:tblCellMar>
        </w:tblPrEx>
        <w:trPr>
          <w:trHeight w:val="846" w:hRule="atLeast"/>
        </w:trPr>
        <w:tc>
          <w:tcPr>
            <w:tcW w:w="780" w:type="dxa"/>
            <w:vMerge w:val="continue"/>
            <w:tcBorders>
              <w:top w:val="nil"/>
              <w:left w:val="single" w:color="000000" w:sz="8" w:space="0"/>
              <w:bottom w:val="single" w:color="000000" w:sz="4" w:space="0"/>
              <w:right w:val="single" w:color="000000" w:sz="4" w:space="0"/>
            </w:tcBorders>
            <w:vAlign w:val="center"/>
          </w:tcPr>
          <w:p>
            <w:pPr>
              <w:kinsoku w:val="0"/>
              <w:autoSpaceDE w:val="0"/>
              <w:autoSpaceDN w:val="0"/>
              <w:rPr>
                <w:rFonts w:ascii="仿宋" w:hAnsi="仿宋" w:eastAsia="仿宋" w:cs="宋体"/>
                <w:bCs/>
                <w:sz w:val="32"/>
                <w:szCs w:val="32"/>
              </w:rPr>
            </w:pPr>
          </w:p>
        </w:tc>
        <w:tc>
          <w:tcPr>
            <w:tcW w:w="580" w:type="dxa"/>
            <w:vMerge w:val="continue"/>
            <w:tcBorders>
              <w:top w:val="nil"/>
              <w:left w:val="nil"/>
              <w:bottom w:val="single" w:color="000000" w:sz="4" w:space="0"/>
              <w:right w:val="single" w:color="000000" w:sz="4" w:space="0"/>
            </w:tcBorders>
            <w:vAlign w:val="center"/>
          </w:tcPr>
          <w:p>
            <w:pPr>
              <w:kinsoku w:val="0"/>
              <w:autoSpaceDE w:val="0"/>
              <w:autoSpaceDN w:val="0"/>
              <w:rPr>
                <w:rFonts w:ascii="仿宋" w:hAnsi="仿宋" w:eastAsia="仿宋" w:cs="宋体"/>
                <w:bCs/>
                <w:sz w:val="32"/>
                <w:szCs w:val="32"/>
              </w:rPr>
            </w:pPr>
          </w:p>
        </w:tc>
        <w:tc>
          <w:tcPr>
            <w:tcW w:w="1960" w:type="dxa"/>
            <w:tcBorders>
              <w:top w:val="nil"/>
              <w:left w:val="nil"/>
              <w:bottom w:val="single" w:color="000000" w:sz="4" w:space="0"/>
              <w:right w:val="single" w:color="000000" w:sz="4" w:space="0"/>
            </w:tcBorders>
            <w:vAlign w:val="center"/>
          </w:tcPr>
          <w:p>
            <w:pPr>
              <w:widowControl/>
              <w:kinsoku w:val="0"/>
              <w:autoSpaceDE w:val="0"/>
              <w:autoSpaceDN w:val="0"/>
              <w:jc w:val="center"/>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预算编制及执行的规范性</w:t>
            </w:r>
          </w:p>
        </w:tc>
        <w:tc>
          <w:tcPr>
            <w:tcW w:w="960" w:type="dxa"/>
            <w:tcBorders>
              <w:top w:val="nil"/>
              <w:left w:val="nil"/>
              <w:bottom w:val="single" w:color="000000" w:sz="4" w:space="0"/>
              <w:right w:val="single" w:color="000000" w:sz="4" w:space="0"/>
            </w:tcBorders>
            <w:vAlign w:val="center"/>
          </w:tcPr>
          <w:p>
            <w:pPr>
              <w:widowControl/>
              <w:kinsoku w:val="0"/>
              <w:autoSpaceDE w:val="0"/>
              <w:autoSpaceDN w:val="0"/>
              <w:jc w:val="center"/>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10</w:t>
            </w:r>
          </w:p>
        </w:tc>
        <w:tc>
          <w:tcPr>
            <w:tcW w:w="2080" w:type="dxa"/>
            <w:tcBorders>
              <w:top w:val="nil"/>
              <w:left w:val="nil"/>
              <w:bottom w:val="single" w:color="000000" w:sz="4" w:space="0"/>
              <w:right w:val="single" w:color="000000" w:sz="4" w:space="0"/>
            </w:tcBorders>
            <w:vAlign w:val="center"/>
          </w:tcPr>
          <w:p>
            <w:pPr>
              <w:widowControl/>
              <w:kinsoku w:val="0"/>
              <w:autoSpaceDE w:val="0"/>
              <w:autoSpaceDN w:val="0"/>
              <w:jc w:val="left"/>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项目支出中开支在职人员及离退休经费比重</w:t>
            </w:r>
          </w:p>
        </w:tc>
        <w:tc>
          <w:tcPr>
            <w:tcW w:w="640" w:type="dxa"/>
            <w:tcBorders>
              <w:top w:val="nil"/>
              <w:left w:val="nil"/>
              <w:bottom w:val="single" w:color="000000" w:sz="4" w:space="0"/>
              <w:right w:val="single" w:color="000000" w:sz="4" w:space="0"/>
            </w:tcBorders>
            <w:vAlign w:val="center"/>
          </w:tcPr>
          <w:p>
            <w:pPr>
              <w:widowControl/>
              <w:kinsoku w:val="0"/>
              <w:autoSpaceDE w:val="0"/>
              <w:autoSpaceDN w:val="0"/>
              <w:jc w:val="center"/>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10</w:t>
            </w:r>
          </w:p>
        </w:tc>
        <w:tc>
          <w:tcPr>
            <w:tcW w:w="1180" w:type="dxa"/>
            <w:tcBorders>
              <w:top w:val="nil"/>
              <w:left w:val="nil"/>
              <w:bottom w:val="single" w:color="000000" w:sz="4" w:space="0"/>
              <w:right w:val="single" w:color="000000" w:sz="4" w:space="0"/>
            </w:tcBorders>
            <w:vAlign w:val="center"/>
          </w:tcPr>
          <w:p>
            <w:pPr>
              <w:widowControl/>
              <w:kinsoku w:val="0"/>
              <w:autoSpaceDE w:val="0"/>
              <w:autoSpaceDN w:val="0"/>
              <w:jc w:val="right"/>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　</w:t>
            </w:r>
          </w:p>
        </w:tc>
        <w:tc>
          <w:tcPr>
            <w:tcW w:w="1040" w:type="dxa"/>
            <w:tcBorders>
              <w:top w:val="nil"/>
              <w:left w:val="nil"/>
              <w:bottom w:val="single" w:color="000000" w:sz="4" w:space="0"/>
              <w:right w:val="single" w:color="000000" w:sz="4" w:space="0"/>
            </w:tcBorders>
            <w:vAlign w:val="center"/>
          </w:tcPr>
          <w:p>
            <w:pPr>
              <w:widowControl/>
              <w:kinsoku w:val="0"/>
              <w:autoSpaceDE w:val="0"/>
              <w:autoSpaceDN w:val="0"/>
              <w:jc w:val="right"/>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9</w:t>
            </w:r>
          </w:p>
        </w:tc>
      </w:tr>
      <w:tr>
        <w:tblPrEx>
          <w:tblCellMar>
            <w:top w:w="0" w:type="dxa"/>
            <w:left w:w="108" w:type="dxa"/>
            <w:bottom w:w="0" w:type="dxa"/>
            <w:right w:w="108" w:type="dxa"/>
          </w:tblCellMar>
        </w:tblPrEx>
        <w:trPr>
          <w:trHeight w:val="525" w:hRule="atLeast"/>
        </w:trPr>
        <w:tc>
          <w:tcPr>
            <w:tcW w:w="780" w:type="dxa"/>
            <w:vMerge w:val="restart"/>
            <w:tcBorders>
              <w:top w:val="nil"/>
              <w:left w:val="single" w:color="000000" w:sz="8" w:space="0"/>
              <w:bottom w:val="single" w:color="000000" w:sz="4" w:space="0"/>
              <w:right w:val="single" w:color="000000" w:sz="4" w:space="0"/>
            </w:tcBorders>
            <w:vAlign w:val="center"/>
          </w:tcPr>
          <w:p>
            <w:pPr>
              <w:widowControl/>
              <w:kinsoku w:val="0"/>
              <w:autoSpaceDE w:val="0"/>
              <w:autoSpaceDN w:val="0"/>
              <w:jc w:val="center"/>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财务状况</w:t>
            </w:r>
          </w:p>
        </w:tc>
        <w:tc>
          <w:tcPr>
            <w:tcW w:w="580" w:type="dxa"/>
            <w:vMerge w:val="restart"/>
            <w:tcBorders>
              <w:top w:val="nil"/>
              <w:left w:val="nil"/>
              <w:bottom w:val="single" w:color="000000" w:sz="4" w:space="0"/>
              <w:right w:val="single" w:color="000000" w:sz="4" w:space="0"/>
            </w:tcBorders>
            <w:vAlign w:val="center"/>
          </w:tcPr>
          <w:p>
            <w:pPr>
              <w:widowControl/>
              <w:kinsoku w:val="0"/>
              <w:autoSpaceDE w:val="0"/>
              <w:autoSpaceDN w:val="0"/>
              <w:jc w:val="center"/>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15</w:t>
            </w:r>
          </w:p>
        </w:tc>
        <w:tc>
          <w:tcPr>
            <w:tcW w:w="1960" w:type="dxa"/>
            <w:tcBorders>
              <w:top w:val="nil"/>
              <w:left w:val="nil"/>
              <w:bottom w:val="single" w:color="000000" w:sz="4" w:space="0"/>
              <w:right w:val="single" w:color="000000" w:sz="4" w:space="0"/>
            </w:tcBorders>
            <w:vAlign w:val="center"/>
          </w:tcPr>
          <w:p>
            <w:pPr>
              <w:widowControl/>
              <w:kinsoku w:val="0"/>
              <w:autoSpaceDE w:val="0"/>
              <w:autoSpaceDN w:val="0"/>
              <w:jc w:val="center"/>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资产状况</w:t>
            </w:r>
          </w:p>
        </w:tc>
        <w:tc>
          <w:tcPr>
            <w:tcW w:w="960" w:type="dxa"/>
            <w:tcBorders>
              <w:top w:val="nil"/>
              <w:left w:val="nil"/>
              <w:bottom w:val="single" w:color="000000" w:sz="4" w:space="0"/>
              <w:right w:val="single" w:color="000000" w:sz="4" w:space="0"/>
            </w:tcBorders>
            <w:vAlign w:val="center"/>
          </w:tcPr>
          <w:p>
            <w:pPr>
              <w:widowControl/>
              <w:kinsoku w:val="0"/>
              <w:autoSpaceDE w:val="0"/>
              <w:autoSpaceDN w:val="0"/>
              <w:jc w:val="center"/>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7</w:t>
            </w:r>
          </w:p>
        </w:tc>
        <w:tc>
          <w:tcPr>
            <w:tcW w:w="2080" w:type="dxa"/>
            <w:tcBorders>
              <w:top w:val="nil"/>
              <w:left w:val="nil"/>
              <w:bottom w:val="single" w:color="000000" w:sz="4" w:space="0"/>
              <w:right w:val="single" w:color="000000" w:sz="4" w:space="0"/>
            </w:tcBorders>
            <w:vAlign w:val="center"/>
          </w:tcPr>
          <w:p>
            <w:pPr>
              <w:widowControl/>
              <w:kinsoku w:val="0"/>
              <w:autoSpaceDE w:val="0"/>
              <w:autoSpaceDN w:val="0"/>
              <w:jc w:val="left"/>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资产类往来款变动率</w:t>
            </w:r>
          </w:p>
        </w:tc>
        <w:tc>
          <w:tcPr>
            <w:tcW w:w="640" w:type="dxa"/>
            <w:tcBorders>
              <w:top w:val="nil"/>
              <w:left w:val="nil"/>
              <w:bottom w:val="single" w:color="000000" w:sz="4" w:space="0"/>
              <w:right w:val="single" w:color="000000" w:sz="4" w:space="0"/>
            </w:tcBorders>
            <w:vAlign w:val="center"/>
          </w:tcPr>
          <w:p>
            <w:pPr>
              <w:widowControl/>
              <w:kinsoku w:val="0"/>
              <w:autoSpaceDE w:val="0"/>
              <w:autoSpaceDN w:val="0"/>
              <w:jc w:val="center"/>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7</w:t>
            </w:r>
          </w:p>
        </w:tc>
        <w:tc>
          <w:tcPr>
            <w:tcW w:w="1180" w:type="dxa"/>
            <w:tcBorders>
              <w:top w:val="nil"/>
              <w:left w:val="nil"/>
              <w:bottom w:val="single" w:color="000000" w:sz="4" w:space="0"/>
              <w:right w:val="single" w:color="000000" w:sz="4" w:space="0"/>
            </w:tcBorders>
            <w:vAlign w:val="center"/>
          </w:tcPr>
          <w:p>
            <w:pPr>
              <w:widowControl/>
              <w:kinsoku w:val="0"/>
              <w:autoSpaceDE w:val="0"/>
              <w:autoSpaceDN w:val="0"/>
              <w:jc w:val="right"/>
              <w:rPr>
                <w:rFonts w:ascii="仿宋" w:hAnsi="仿宋" w:eastAsia="仿宋" w:cs="宋体"/>
                <w:bCs/>
                <w:color w:val="000000"/>
                <w:kern w:val="0"/>
                <w:sz w:val="32"/>
                <w:szCs w:val="32"/>
              </w:rPr>
            </w:pPr>
          </w:p>
        </w:tc>
        <w:tc>
          <w:tcPr>
            <w:tcW w:w="1040" w:type="dxa"/>
            <w:tcBorders>
              <w:top w:val="nil"/>
              <w:left w:val="nil"/>
              <w:bottom w:val="single" w:color="000000" w:sz="4" w:space="0"/>
              <w:right w:val="single" w:color="000000" w:sz="4" w:space="0"/>
            </w:tcBorders>
            <w:vAlign w:val="center"/>
          </w:tcPr>
          <w:p>
            <w:pPr>
              <w:widowControl/>
              <w:kinsoku w:val="0"/>
              <w:autoSpaceDE w:val="0"/>
              <w:autoSpaceDN w:val="0"/>
              <w:jc w:val="right"/>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7</w:t>
            </w:r>
          </w:p>
        </w:tc>
      </w:tr>
      <w:tr>
        <w:tblPrEx>
          <w:tblCellMar>
            <w:top w:w="0" w:type="dxa"/>
            <w:left w:w="108" w:type="dxa"/>
            <w:bottom w:w="0" w:type="dxa"/>
            <w:right w:w="108" w:type="dxa"/>
          </w:tblCellMar>
        </w:tblPrEx>
        <w:trPr>
          <w:trHeight w:val="525" w:hRule="atLeast"/>
        </w:trPr>
        <w:tc>
          <w:tcPr>
            <w:tcW w:w="780" w:type="dxa"/>
            <w:vMerge w:val="continue"/>
            <w:tcBorders>
              <w:top w:val="nil"/>
              <w:left w:val="single" w:color="000000" w:sz="8" w:space="0"/>
              <w:bottom w:val="single" w:color="000000" w:sz="4" w:space="0"/>
              <w:right w:val="single" w:color="000000" w:sz="4" w:space="0"/>
            </w:tcBorders>
            <w:vAlign w:val="center"/>
          </w:tcPr>
          <w:p>
            <w:pPr>
              <w:kinsoku w:val="0"/>
              <w:autoSpaceDE w:val="0"/>
              <w:autoSpaceDN w:val="0"/>
              <w:rPr>
                <w:rFonts w:ascii="仿宋" w:hAnsi="仿宋" w:eastAsia="仿宋" w:cs="宋体"/>
                <w:bCs/>
                <w:sz w:val="32"/>
                <w:szCs w:val="32"/>
              </w:rPr>
            </w:pPr>
          </w:p>
        </w:tc>
        <w:tc>
          <w:tcPr>
            <w:tcW w:w="580" w:type="dxa"/>
            <w:vMerge w:val="continue"/>
            <w:tcBorders>
              <w:top w:val="nil"/>
              <w:left w:val="nil"/>
              <w:bottom w:val="single" w:color="000000" w:sz="4" w:space="0"/>
              <w:right w:val="single" w:color="000000" w:sz="4" w:space="0"/>
            </w:tcBorders>
            <w:vAlign w:val="center"/>
          </w:tcPr>
          <w:p>
            <w:pPr>
              <w:kinsoku w:val="0"/>
              <w:autoSpaceDE w:val="0"/>
              <w:autoSpaceDN w:val="0"/>
              <w:rPr>
                <w:rFonts w:ascii="仿宋" w:hAnsi="仿宋" w:eastAsia="仿宋" w:cs="宋体"/>
                <w:bCs/>
                <w:sz w:val="32"/>
                <w:szCs w:val="32"/>
              </w:rPr>
            </w:pPr>
          </w:p>
        </w:tc>
        <w:tc>
          <w:tcPr>
            <w:tcW w:w="1960" w:type="dxa"/>
            <w:vMerge w:val="restart"/>
            <w:tcBorders>
              <w:top w:val="nil"/>
              <w:left w:val="nil"/>
              <w:bottom w:val="single" w:color="000000" w:sz="4" w:space="0"/>
              <w:right w:val="single" w:color="000000" w:sz="4" w:space="0"/>
            </w:tcBorders>
            <w:vAlign w:val="center"/>
          </w:tcPr>
          <w:p>
            <w:pPr>
              <w:widowControl/>
              <w:kinsoku w:val="0"/>
              <w:autoSpaceDE w:val="0"/>
              <w:autoSpaceDN w:val="0"/>
              <w:jc w:val="center"/>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负债状况</w:t>
            </w:r>
          </w:p>
        </w:tc>
        <w:tc>
          <w:tcPr>
            <w:tcW w:w="960" w:type="dxa"/>
            <w:vMerge w:val="restart"/>
            <w:tcBorders>
              <w:top w:val="nil"/>
              <w:left w:val="nil"/>
              <w:bottom w:val="single" w:color="000000" w:sz="4" w:space="0"/>
              <w:right w:val="single" w:color="000000" w:sz="4" w:space="0"/>
            </w:tcBorders>
            <w:vAlign w:val="center"/>
          </w:tcPr>
          <w:p>
            <w:pPr>
              <w:widowControl/>
              <w:kinsoku w:val="0"/>
              <w:autoSpaceDE w:val="0"/>
              <w:autoSpaceDN w:val="0"/>
              <w:jc w:val="center"/>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8</w:t>
            </w:r>
          </w:p>
        </w:tc>
        <w:tc>
          <w:tcPr>
            <w:tcW w:w="2080" w:type="dxa"/>
            <w:tcBorders>
              <w:top w:val="nil"/>
              <w:left w:val="nil"/>
              <w:bottom w:val="single" w:color="000000" w:sz="4" w:space="0"/>
              <w:right w:val="single" w:color="000000" w:sz="4" w:space="0"/>
            </w:tcBorders>
            <w:vAlign w:val="center"/>
          </w:tcPr>
          <w:p>
            <w:pPr>
              <w:widowControl/>
              <w:kinsoku w:val="0"/>
              <w:autoSpaceDE w:val="0"/>
              <w:autoSpaceDN w:val="0"/>
              <w:jc w:val="left"/>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负债类往来款变动率</w:t>
            </w:r>
          </w:p>
        </w:tc>
        <w:tc>
          <w:tcPr>
            <w:tcW w:w="640" w:type="dxa"/>
            <w:tcBorders>
              <w:top w:val="nil"/>
              <w:left w:val="nil"/>
              <w:bottom w:val="single" w:color="000000" w:sz="4" w:space="0"/>
              <w:right w:val="single" w:color="000000" w:sz="4" w:space="0"/>
            </w:tcBorders>
            <w:vAlign w:val="center"/>
          </w:tcPr>
          <w:p>
            <w:pPr>
              <w:widowControl/>
              <w:kinsoku w:val="0"/>
              <w:autoSpaceDE w:val="0"/>
              <w:autoSpaceDN w:val="0"/>
              <w:jc w:val="center"/>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6</w:t>
            </w:r>
          </w:p>
        </w:tc>
        <w:tc>
          <w:tcPr>
            <w:tcW w:w="1180" w:type="dxa"/>
            <w:tcBorders>
              <w:top w:val="nil"/>
              <w:left w:val="nil"/>
              <w:bottom w:val="single" w:color="000000" w:sz="4" w:space="0"/>
              <w:right w:val="single" w:color="000000" w:sz="4" w:space="0"/>
            </w:tcBorders>
            <w:vAlign w:val="center"/>
          </w:tcPr>
          <w:p>
            <w:pPr>
              <w:widowControl/>
              <w:kinsoku w:val="0"/>
              <w:autoSpaceDE w:val="0"/>
              <w:autoSpaceDN w:val="0"/>
              <w:jc w:val="right"/>
              <w:rPr>
                <w:rFonts w:ascii="仿宋" w:hAnsi="仿宋" w:eastAsia="仿宋" w:cs="宋体"/>
                <w:bCs/>
                <w:color w:val="000000"/>
                <w:kern w:val="0"/>
                <w:sz w:val="32"/>
                <w:szCs w:val="32"/>
              </w:rPr>
            </w:pPr>
          </w:p>
        </w:tc>
        <w:tc>
          <w:tcPr>
            <w:tcW w:w="1040" w:type="dxa"/>
            <w:tcBorders>
              <w:top w:val="nil"/>
              <w:left w:val="nil"/>
              <w:bottom w:val="single" w:color="000000" w:sz="4" w:space="0"/>
              <w:right w:val="single" w:color="000000" w:sz="4" w:space="0"/>
            </w:tcBorders>
            <w:vAlign w:val="center"/>
          </w:tcPr>
          <w:p>
            <w:pPr>
              <w:widowControl/>
              <w:kinsoku w:val="0"/>
              <w:autoSpaceDE w:val="0"/>
              <w:autoSpaceDN w:val="0"/>
              <w:jc w:val="right"/>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6</w:t>
            </w:r>
          </w:p>
        </w:tc>
      </w:tr>
      <w:tr>
        <w:tblPrEx>
          <w:tblCellMar>
            <w:top w:w="0" w:type="dxa"/>
            <w:left w:w="108" w:type="dxa"/>
            <w:bottom w:w="0" w:type="dxa"/>
            <w:right w:w="108" w:type="dxa"/>
          </w:tblCellMar>
        </w:tblPrEx>
        <w:trPr>
          <w:trHeight w:val="525" w:hRule="atLeast"/>
        </w:trPr>
        <w:tc>
          <w:tcPr>
            <w:tcW w:w="780" w:type="dxa"/>
            <w:vMerge w:val="continue"/>
            <w:tcBorders>
              <w:top w:val="nil"/>
              <w:left w:val="single" w:color="000000" w:sz="8" w:space="0"/>
              <w:bottom w:val="single" w:color="000000" w:sz="4" w:space="0"/>
              <w:right w:val="single" w:color="000000" w:sz="4" w:space="0"/>
            </w:tcBorders>
            <w:vAlign w:val="center"/>
          </w:tcPr>
          <w:p>
            <w:pPr>
              <w:kinsoku w:val="0"/>
              <w:autoSpaceDE w:val="0"/>
              <w:autoSpaceDN w:val="0"/>
              <w:rPr>
                <w:rFonts w:ascii="仿宋" w:hAnsi="仿宋" w:eastAsia="仿宋" w:cs="宋体"/>
                <w:bCs/>
                <w:sz w:val="32"/>
                <w:szCs w:val="32"/>
              </w:rPr>
            </w:pPr>
          </w:p>
        </w:tc>
        <w:tc>
          <w:tcPr>
            <w:tcW w:w="580" w:type="dxa"/>
            <w:vMerge w:val="continue"/>
            <w:tcBorders>
              <w:top w:val="nil"/>
              <w:left w:val="nil"/>
              <w:bottom w:val="single" w:color="000000" w:sz="4" w:space="0"/>
              <w:right w:val="single" w:color="000000" w:sz="4" w:space="0"/>
            </w:tcBorders>
            <w:vAlign w:val="center"/>
          </w:tcPr>
          <w:p>
            <w:pPr>
              <w:kinsoku w:val="0"/>
              <w:autoSpaceDE w:val="0"/>
              <w:autoSpaceDN w:val="0"/>
              <w:rPr>
                <w:rFonts w:ascii="仿宋" w:hAnsi="仿宋" w:eastAsia="仿宋" w:cs="宋体"/>
                <w:bCs/>
                <w:sz w:val="32"/>
                <w:szCs w:val="32"/>
              </w:rPr>
            </w:pPr>
          </w:p>
        </w:tc>
        <w:tc>
          <w:tcPr>
            <w:tcW w:w="1960" w:type="dxa"/>
            <w:vMerge w:val="continue"/>
            <w:tcBorders>
              <w:top w:val="nil"/>
              <w:left w:val="nil"/>
              <w:bottom w:val="single" w:color="000000" w:sz="4" w:space="0"/>
              <w:right w:val="single" w:color="000000" w:sz="4" w:space="0"/>
            </w:tcBorders>
            <w:vAlign w:val="center"/>
          </w:tcPr>
          <w:p>
            <w:pPr>
              <w:kinsoku w:val="0"/>
              <w:autoSpaceDE w:val="0"/>
              <w:autoSpaceDN w:val="0"/>
              <w:rPr>
                <w:rFonts w:ascii="仿宋" w:hAnsi="仿宋" w:eastAsia="仿宋" w:cs="宋体"/>
                <w:bCs/>
                <w:sz w:val="32"/>
                <w:szCs w:val="32"/>
              </w:rPr>
            </w:pPr>
          </w:p>
        </w:tc>
        <w:tc>
          <w:tcPr>
            <w:tcW w:w="960" w:type="dxa"/>
            <w:vMerge w:val="continue"/>
            <w:tcBorders>
              <w:top w:val="nil"/>
              <w:left w:val="nil"/>
              <w:bottom w:val="single" w:color="000000" w:sz="4" w:space="0"/>
              <w:right w:val="single" w:color="000000" w:sz="4" w:space="0"/>
            </w:tcBorders>
            <w:vAlign w:val="center"/>
          </w:tcPr>
          <w:p>
            <w:pPr>
              <w:kinsoku w:val="0"/>
              <w:autoSpaceDE w:val="0"/>
              <w:autoSpaceDN w:val="0"/>
              <w:rPr>
                <w:rFonts w:ascii="仿宋" w:hAnsi="仿宋" w:eastAsia="仿宋" w:cs="宋体"/>
                <w:bCs/>
                <w:sz w:val="32"/>
                <w:szCs w:val="32"/>
              </w:rPr>
            </w:pPr>
          </w:p>
        </w:tc>
        <w:tc>
          <w:tcPr>
            <w:tcW w:w="2080" w:type="dxa"/>
            <w:tcBorders>
              <w:top w:val="nil"/>
              <w:left w:val="nil"/>
              <w:bottom w:val="single" w:color="000000" w:sz="4" w:space="0"/>
              <w:right w:val="single" w:color="000000" w:sz="4" w:space="0"/>
            </w:tcBorders>
            <w:vAlign w:val="center"/>
          </w:tcPr>
          <w:p>
            <w:pPr>
              <w:widowControl/>
              <w:kinsoku w:val="0"/>
              <w:autoSpaceDE w:val="0"/>
              <w:autoSpaceDN w:val="0"/>
              <w:jc w:val="left"/>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事业单位借款变动率</w:t>
            </w:r>
          </w:p>
        </w:tc>
        <w:tc>
          <w:tcPr>
            <w:tcW w:w="640" w:type="dxa"/>
            <w:tcBorders>
              <w:top w:val="nil"/>
              <w:left w:val="nil"/>
              <w:bottom w:val="single" w:color="000000" w:sz="4" w:space="0"/>
              <w:right w:val="single" w:color="000000" w:sz="4" w:space="0"/>
            </w:tcBorders>
            <w:vAlign w:val="center"/>
          </w:tcPr>
          <w:p>
            <w:pPr>
              <w:widowControl/>
              <w:kinsoku w:val="0"/>
              <w:autoSpaceDE w:val="0"/>
              <w:autoSpaceDN w:val="0"/>
              <w:jc w:val="center"/>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2</w:t>
            </w:r>
          </w:p>
        </w:tc>
        <w:tc>
          <w:tcPr>
            <w:tcW w:w="1180" w:type="dxa"/>
            <w:tcBorders>
              <w:top w:val="nil"/>
              <w:left w:val="nil"/>
              <w:bottom w:val="single" w:color="000000" w:sz="4" w:space="0"/>
              <w:right w:val="single" w:color="000000" w:sz="4" w:space="0"/>
            </w:tcBorders>
            <w:vAlign w:val="center"/>
          </w:tcPr>
          <w:p>
            <w:pPr>
              <w:widowControl/>
              <w:kinsoku w:val="0"/>
              <w:autoSpaceDE w:val="0"/>
              <w:autoSpaceDN w:val="0"/>
              <w:jc w:val="right"/>
              <w:rPr>
                <w:rFonts w:ascii="仿宋" w:hAnsi="仿宋" w:eastAsia="仿宋" w:cs="宋体"/>
                <w:bCs/>
                <w:color w:val="000000"/>
                <w:kern w:val="0"/>
                <w:sz w:val="32"/>
                <w:szCs w:val="32"/>
              </w:rPr>
            </w:pPr>
          </w:p>
        </w:tc>
        <w:tc>
          <w:tcPr>
            <w:tcW w:w="1040" w:type="dxa"/>
            <w:tcBorders>
              <w:top w:val="nil"/>
              <w:left w:val="nil"/>
              <w:bottom w:val="single" w:color="000000" w:sz="4" w:space="0"/>
              <w:right w:val="single" w:color="000000" w:sz="4" w:space="0"/>
            </w:tcBorders>
            <w:vAlign w:val="center"/>
          </w:tcPr>
          <w:p>
            <w:pPr>
              <w:widowControl/>
              <w:kinsoku w:val="0"/>
              <w:autoSpaceDE w:val="0"/>
              <w:autoSpaceDN w:val="0"/>
              <w:jc w:val="right"/>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2</w:t>
            </w:r>
          </w:p>
        </w:tc>
      </w:tr>
      <w:tr>
        <w:tblPrEx>
          <w:tblCellMar>
            <w:top w:w="0" w:type="dxa"/>
            <w:left w:w="108" w:type="dxa"/>
            <w:bottom w:w="0" w:type="dxa"/>
            <w:right w:w="108" w:type="dxa"/>
          </w:tblCellMar>
        </w:tblPrEx>
        <w:trPr>
          <w:trHeight w:val="525" w:hRule="atLeast"/>
        </w:trPr>
        <w:tc>
          <w:tcPr>
            <w:tcW w:w="780" w:type="dxa"/>
            <w:vMerge w:val="restart"/>
            <w:tcBorders>
              <w:top w:val="nil"/>
              <w:left w:val="single" w:color="000000" w:sz="8" w:space="0"/>
              <w:bottom w:val="single" w:color="000000" w:sz="4" w:space="0"/>
              <w:right w:val="single" w:color="000000" w:sz="4" w:space="0"/>
            </w:tcBorders>
            <w:vAlign w:val="center"/>
          </w:tcPr>
          <w:p>
            <w:pPr>
              <w:widowControl/>
              <w:kinsoku w:val="0"/>
              <w:autoSpaceDE w:val="0"/>
              <w:autoSpaceDN w:val="0"/>
              <w:jc w:val="center"/>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人员情况</w:t>
            </w:r>
          </w:p>
        </w:tc>
        <w:tc>
          <w:tcPr>
            <w:tcW w:w="580" w:type="dxa"/>
            <w:vMerge w:val="restart"/>
            <w:tcBorders>
              <w:top w:val="nil"/>
              <w:left w:val="nil"/>
              <w:bottom w:val="single" w:color="000000" w:sz="4" w:space="0"/>
              <w:right w:val="single" w:color="000000" w:sz="4" w:space="0"/>
            </w:tcBorders>
            <w:vAlign w:val="center"/>
          </w:tcPr>
          <w:p>
            <w:pPr>
              <w:widowControl/>
              <w:kinsoku w:val="0"/>
              <w:autoSpaceDE w:val="0"/>
              <w:autoSpaceDN w:val="0"/>
              <w:jc w:val="center"/>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5</w:t>
            </w:r>
          </w:p>
        </w:tc>
        <w:tc>
          <w:tcPr>
            <w:tcW w:w="1960" w:type="dxa"/>
            <w:tcBorders>
              <w:top w:val="nil"/>
              <w:left w:val="nil"/>
              <w:bottom w:val="single" w:color="000000" w:sz="4" w:space="0"/>
              <w:right w:val="single" w:color="000000" w:sz="4" w:space="0"/>
            </w:tcBorders>
            <w:vAlign w:val="center"/>
          </w:tcPr>
          <w:p>
            <w:pPr>
              <w:widowControl/>
              <w:kinsoku w:val="0"/>
              <w:autoSpaceDE w:val="0"/>
              <w:autoSpaceDN w:val="0"/>
              <w:jc w:val="center"/>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在职人员控制</w:t>
            </w:r>
          </w:p>
        </w:tc>
        <w:tc>
          <w:tcPr>
            <w:tcW w:w="960" w:type="dxa"/>
            <w:tcBorders>
              <w:top w:val="nil"/>
              <w:left w:val="nil"/>
              <w:bottom w:val="single" w:color="000000" w:sz="4" w:space="0"/>
              <w:right w:val="single" w:color="000000" w:sz="4" w:space="0"/>
            </w:tcBorders>
            <w:vAlign w:val="center"/>
          </w:tcPr>
          <w:p>
            <w:pPr>
              <w:widowControl/>
              <w:kinsoku w:val="0"/>
              <w:autoSpaceDE w:val="0"/>
              <w:autoSpaceDN w:val="0"/>
              <w:jc w:val="center"/>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3</w:t>
            </w:r>
          </w:p>
        </w:tc>
        <w:tc>
          <w:tcPr>
            <w:tcW w:w="2080" w:type="dxa"/>
            <w:tcBorders>
              <w:top w:val="nil"/>
              <w:left w:val="nil"/>
              <w:bottom w:val="single" w:color="000000" w:sz="4" w:space="0"/>
              <w:right w:val="single" w:color="000000" w:sz="4" w:space="0"/>
            </w:tcBorders>
            <w:vAlign w:val="center"/>
          </w:tcPr>
          <w:p>
            <w:pPr>
              <w:widowControl/>
              <w:kinsoku w:val="0"/>
              <w:autoSpaceDE w:val="0"/>
              <w:autoSpaceDN w:val="0"/>
              <w:jc w:val="left"/>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在职人员控制率</w:t>
            </w:r>
          </w:p>
        </w:tc>
        <w:tc>
          <w:tcPr>
            <w:tcW w:w="640" w:type="dxa"/>
            <w:tcBorders>
              <w:top w:val="nil"/>
              <w:left w:val="nil"/>
              <w:bottom w:val="single" w:color="000000" w:sz="4" w:space="0"/>
              <w:right w:val="single" w:color="000000" w:sz="4" w:space="0"/>
            </w:tcBorders>
            <w:vAlign w:val="center"/>
          </w:tcPr>
          <w:p>
            <w:pPr>
              <w:widowControl/>
              <w:kinsoku w:val="0"/>
              <w:autoSpaceDE w:val="0"/>
              <w:autoSpaceDN w:val="0"/>
              <w:jc w:val="center"/>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3</w:t>
            </w:r>
          </w:p>
        </w:tc>
        <w:tc>
          <w:tcPr>
            <w:tcW w:w="1180" w:type="dxa"/>
            <w:tcBorders>
              <w:top w:val="nil"/>
              <w:left w:val="nil"/>
              <w:bottom w:val="single" w:color="000000" w:sz="4" w:space="0"/>
              <w:right w:val="single" w:color="000000" w:sz="4" w:space="0"/>
            </w:tcBorders>
            <w:vAlign w:val="center"/>
          </w:tcPr>
          <w:p>
            <w:pPr>
              <w:widowControl/>
              <w:kinsoku w:val="0"/>
              <w:autoSpaceDE w:val="0"/>
              <w:autoSpaceDN w:val="0"/>
              <w:jc w:val="right"/>
              <w:rPr>
                <w:rFonts w:ascii="仿宋" w:hAnsi="仿宋" w:eastAsia="仿宋" w:cs="宋体"/>
                <w:bCs/>
                <w:color w:val="000000"/>
                <w:kern w:val="0"/>
                <w:sz w:val="32"/>
                <w:szCs w:val="32"/>
              </w:rPr>
            </w:pPr>
          </w:p>
        </w:tc>
        <w:tc>
          <w:tcPr>
            <w:tcW w:w="1040" w:type="dxa"/>
            <w:tcBorders>
              <w:top w:val="nil"/>
              <w:left w:val="nil"/>
              <w:bottom w:val="single" w:color="000000" w:sz="4" w:space="0"/>
              <w:right w:val="single" w:color="000000" w:sz="4" w:space="0"/>
            </w:tcBorders>
            <w:vAlign w:val="center"/>
          </w:tcPr>
          <w:p>
            <w:pPr>
              <w:widowControl/>
              <w:kinsoku w:val="0"/>
              <w:autoSpaceDE w:val="0"/>
              <w:autoSpaceDN w:val="0"/>
              <w:jc w:val="center"/>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3</w:t>
            </w:r>
          </w:p>
        </w:tc>
      </w:tr>
      <w:tr>
        <w:tblPrEx>
          <w:tblCellMar>
            <w:top w:w="0" w:type="dxa"/>
            <w:left w:w="108" w:type="dxa"/>
            <w:bottom w:w="0" w:type="dxa"/>
            <w:right w:w="108" w:type="dxa"/>
          </w:tblCellMar>
        </w:tblPrEx>
        <w:trPr>
          <w:trHeight w:val="525" w:hRule="atLeast"/>
        </w:trPr>
        <w:tc>
          <w:tcPr>
            <w:tcW w:w="780" w:type="dxa"/>
            <w:vMerge w:val="continue"/>
            <w:tcBorders>
              <w:top w:val="nil"/>
              <w:left w:val="single" w:color="000000" w:sz="8" w:space="0"/>
              <w:bottom w:val="single" w:color="000000" w:sz="4" w:space="0"/>
              <w:right w:val="single" w:color="000000" w:sz="4" w:space="0"/>
            </w:tcBorders>
            <w:vAlign w:val="center"/>
          </w:tcPr>
          <w:p>
            <w:pPr>
              <w:kinsoku w:val="0"/>
              <w:autoSpaceDE w:val="0"/>
              <w:autoSpaceDN w:val="0"/>
              <w:rPr>
                <w:rFonts w:ascii="仿宋" w:hAnsi="仿宋" w:eastAsia="仿宋" w:cs="宋体"/>
                <w:bCs/>
                <w:sz w:val="32"/>
                <w:szCs w:val="32"/>
              </w:rPr>
            </w:pPr>
          </w:p>
        </w:tc>
        <w:tc>
          <w:tcPr>
            <w:tcW w:w="580" w:type="dxa"/>
            <w:vMerge w:val="continue"/>
            <w:tcBorders>
              <w:top w:val="nil"/>
              <w:left w:val="nil"/>
              <w:bottom w:val="single" w:color="000000" w:sz="4" w:space="0"/>
              <w:right w:val="single" w:color="000000" w:sz="4" w:space="0"/>
            </w:tcBorders>
            <w:vAlign w:val="center"/>
          </w:tcPr>
          <w:p>
            <w:pPr>
              <w:kinsoku w:val="0"/>
              <w:autoSpaceDE w:val="0"/>
              <w:autoSpaceDN w:val="0"/>
              <w:rPr>
                <w:rFonts w:ascii="仿宋" w:hAnsi="仿宋" w:eastAsia="仿宋" w:cs="宋体"/>
                <w:bCs/>
                <w:sz w:val="32"/>
                <w:szCs w:val="32"/>
              </w:rPr>
            </w:pPr>
          </w:p>
        </w:tc>
        <w:tc>
          <w:tcPr>
            <w:tcW w:w="1960" w:type="dxa"/>
            <w:tcBorders>
              <w:top w:val="nil"/>
              <w:left w:val="nil"/>
              <w:bottom w:val="single" w:color="000000" w:sz="4" w:space="0"/>
              <w:right w:val="single" w:color="000000" w:sz="4" w:space="0"/>
            </w:tcBorders>
            <w:vAlign w:val="center"/>
          </w:tcPr>
          <w:p>
            <w:pPr>
              <w:widowControl/>
              <w:kinsoku w:val="0"/>
              <w:autoSpaceDE w:val="0"/>
              <w:autoSpaceDN w:val="0"/>
              <w:jc w:val="center"/>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其他人员控制</w:t>
            </w:r>
          </w:p>
        </w:tc>
        <w:tc>
          <w:tcPr>
            <w:tcW w:w="960" w:type="dxa"/>
            <w:tcBorders>
              <w:top w:val="nil"/>
              <w:left w:val="nil"/>
              <w:bottom w:val="single" w:color="000000" w:sz="4" w:space="0"/>
              <w:right w:val="single" w:color="000000" w:sz="4" w:space="0"/>
            </w:tcBorders>
            <w:vAlign w:val="center"/>
          </w:tcPr>
          <w:p>
            <w:pPr>
              <w:widowControl/>
              <w:kinsoku w:val="0"/>
              <w:autoSpaceDE w:val="0"/>
              <w:autoSpaceDN w:val="0"/>
              <w:jc w:val="center"/>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1</w:t>
            </w:r>
          </w:p>
        </w:tc>
        <w:tc>
          <w:tcPr>
            <w:tcW w:w="2080" w:type="dxa"/>
            <w:tcBorders>
              <w:top w:val="nil"/>
              <w:left w:val="nil"/>
              <w:bottom w:val="single" w:color="000000" w:sz="4" w:space="0"/>
              <w:right w:val="single" w:color="000000" w:sz="4" w:space="0"/>
            </w:tcBorders>
            <w:vAlign w:val="center"/>
          </w:tcPr>
          <w:p>
            <w:pPr>
              <w:widowControl/>
              <w:kinsoku w:val="0"/>
              <w:autoSpaceDE w:val="0"/>
              <w:autoSpaceDN w:val="0"/>
              <w:jc w:val="left"/>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其他人员增减率</w:t>
            </w:r>
          </w:p>
        </w:tc>
        <w:tc>
          <w:tcPr>
            <w:tcW w:w="640" w:type="dxa"/>
            <w:tcBorders>
              <w:top w:val="nil"/>
              <w:left w:val="nil"/>
              <w:bottom w:val="single" w:color="000000" w:sz="4" w:space="0"/>
              <w:right w:val="single" w:color="000000" w:sz="4" w:space="0"/>
            </w:tcBorders>
            <w:vAlign w:val="center"/>
          </w:tcPr>
          <w:p>
            <w:pPr>
              <w:widowControl/>
              <w:kinsoku w:val="0"/>
              <w:autoSpaceDE w:val="0"/>
              <w:autoSpaceDN w:val="0"/>
              <w:jc w:val="center"/>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1</w:t>
            </w:r>
          </w:p>
        </w:tc>
        <w:tc>
          <w:tcPr>
            <w:tcW w:w="1180" w:type="dxa"/>
            <w:tcBorders>
              <w:top w:val="nil"/>
              <w:left w:val="nil"/>
              <w:bottom w:val="single" w:color="000000" w:sz="4" w:space="0"/>
              <w:right w:val="single" w:color="000000" w:sz="4" w:space="0"/>
            </w:tcBorders>
            <w:vAlign w:val="center"/>
          </w:tcPr>
          <w:p>
            <w:pPr>
              <w:widowControl/>
              <w:kinsoku w:val="0"/>
              <w:autoSpaceDE w:val="0"/>
              <w:autoSpaceDN w:val="0"/>
              <w:jc w:val="right"/>
              <w:rPr>
                <w:rFonts w:ascii="仿宋" w:hAnsi="仿宋" w:eastAsia="仿宋" w:cs="宋体"/>
                <w:bCs/>
                <w:color w:val="000000"/>
                <w:kern w:val="0"/>
                <w:sz w:val="32"/>
                <w:szCs w:val="32"/>
              </w:rPr>
            </w:pPr>
          </w:p>
        </w:tc>
        <w:tc>
          <w:tcPr>
            <w:tcW w:w="1040" w:type="dxa"/>
            <w:tcBorders>
              <w:top w:val="nil"/>
              <w:left w:val="nil"/>
              <w:bottom w:val="single" w:color="000000" w:sz="4" w:space="0"/>
              <w:right w:val="single" w:color="000000" w:sz="4" w:space="0"/>
            </w:tcBorders>
            <w:vAlign w:val="center"/>
          </w:tcPr>
          <w:p>
            <w:pPr>
              <w:widowControl/>
              <w:kinsoku w:val="0"/>
              <w:autoSpaceDE w:val="0"/>
              <w:autoSpaceDN w:val="0"/>
              <w:jc w:val="right"/>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1</w:t>
            </w:r>
          </w:p>
        </w:tc>
      </w:tr>
      <w:tr>
        <w:tblPrEx>
          <w:tblCellMar>
            <w:top w:w="0" w:type="dxa"/>
            <w:left w:w="108" w:type="dxa"/>
            <w:bottom w:w="0" w:type="dxa"/>
            <w:right w:w="108" w:type="dxa"/>
          </w:tblCellMar>
        </w:tblPrEx>
        <w:trPr>
          <w:trHeight w:val="525" w:hRule="atLeast"/>
        </w:trPr>
        <w:tc>
          <w:tcPr>
            <w:tcW w:w="780" w:type="dxa"/>
            <w:vMerge w:val="continue"/>
            <w:tcBorders>
              <w:top w:val="nil"/>
              <w:left w:val="single" w:color="000000" w:sz="8" w:space="0"/>
              <w:bottom w:val="single" w:color="000000" w:sz="4" w:space="0"/>
              <w:right w:val="single" w:color="000000" w:sz="4" w:space="0"/>
            </w:tcBorders>
            <w:vAlign w:val="center"/>
          </w:tcPr>
          <w:p>
            <w:pPr>
              <w:kinsoku w:val="0"/>
              <w:autoSpaceDE w:val="0"/>
              <w:autoSpaceDN w:val="0"/>
              <w:rPr>
                <w:rFonts w:ascii="仿宋" w:hAnsi="仿宋" w:eastAsia="仿宋" w:cs="宋体"/>
                <w:bCs/>
                <w:sz w:val="32"/>
                <w:szCs w:val="32"/>
              </w:rPr>
            </w:pPr>
          </w:p>
        </w:tc>
        <w:tc>
          <w:tcPr>
            <w:tcW w:w="580" w:type="dxa"/>
            <w:vMerge w:val="continue"/>
            <w:tcBorders>
              <w:top w:val="nil"/>
              <w:left w:val="nil"/>
              <w:bottom w:val="single" w:color="000000" w:sz="4" w:space="0"/>
              <w:right w:val="single" w:color="000000" w:sz="4" w:space="0"/>
            </w:tcBorders>
            <w:vAlign w:val="center"/>
          </w:tcPr>
          <w:p>
            <w:pPr>
              <w:kinsoku w:val="0"/>
              <w:autoSpaceDE w:val="0"/>
              <w:autoSpaceDN w:val="0"/>
              <w:rPr>
                <w:rFonts w:ascii="仿宋" w:hAnsi="仿宋" w:eastAsia="仿宋" w:cs="宋体"/>
                <w:bCs/>
                <w:sz w:val="32"/>
                <w:szCs w:val="32"/>
              </w:rPr>
            </w:pPr>
          </w:p>
        </w:tc>
        <w:tc>
          <w:tcPr>
            <w:tcW w:w="1960" w:type="dxa"/>
            <w:tcBorders>
              <w:top w:val="nil"/>
              <w:left w:val="nil"/>
              <w:bottom w:val="single" w:color="000000" w:sz="4" w:space="0"/>
              <w:right w:val="single" w:color="000000" w:sz="4" w:space="0"/>
            </w:tcBorders>
            <w:vAlign w:val="center"/>
          </w:tcPr>
          <w:p>
            <w:pPr>
              <w:widowControl/>
              <w:kinsoku w:val="0"/>
              <w:autoSpaceDE w:val="0"/>
              <w:autoSpaceDN w:val="0"/>
              <w:jc w:val="center"/>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财政拨款（补助）人员控制</w:t>
            </w:r>
          </w:p>
        </w:tc>
        <w:tc>
          <w:tcPr>
            <w:tcW w:w="960" w:type="dxa"/>
            <w:tcBorders>
              <w:top w:val="nil"/>
              <w:left w:val="nil"/>
              <w:bottom w:val="single" w:color="000000" w:sz="4" w:space="0"/>
              <w:right w:val="single" w:color="000000" w:sz="4" w:space="0"/>
            </w:tcBorders>
            <w:vAlign w:val="center"/>
          </w:tcPr>
          <w:p>
            <w:pPr>
              <w:widowControl/>
              <w:kinsoku w:val="0"/>
              <w:autoSpaceDE w:val="0"/>
              <w:autoSpaceDN w:val="0"/>
              <w:jc w:val="center"/>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1</w:t>
            </w:r>
          </w:p>
        </w:tc>
        <w:tc>
          <w:tcPr>
            <w:tcW w:w="2080" w:type="dxa"/>
            <w:tcBorders>
              <w:top w:val="nil"/>
              <w:left w:val="nil"/>
              <w:bottom w:val="single" w:color="000000" w:sz="4" w:space="0"/>
              <w:right w:val="single" w:color="000000" w:sz="4" w:space="0"/>
            </w:tcBorders>
            <w:vAlign w:val="center"/>
          </w:tcPr>
          <w:p>
            <w:pPr>
              <w:widowControl/>
              <w:kinsoku w:val="0"/>
              <w:autoSpaceDE w:val="0"/>
              <w:autoSpaceDN w:val="0"/>
              <w:jc w:val="left"/>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一般公共预算财政拨款（补助）人员增减率</w:t>
            </w:r>
          </w:p>
        </w:tc>
        <w:tc>
          <w:tcPr>
            <w:tcW w:w="640" w:type="dxa"/>
            <w:tcBorders>
              <w:top w:val="nil"/>
              <w:left w:val="nil"/>
              <w:bottom w:val="single" w:color="000000" w:sz="4" w:space="0"/>
              <w:right w:val="single" w:color="000000" w:sz="4" w:space="0"/>
            </w:tcBorders>
            <w:vAlign w:val="center"/>
          </w:tcPr>
          <w:p>
            <w:pPr>
              <w:widowControl/>
              <w:kinsoku w:val="0"/>
              <w:autoSpaceDE w:val="0"/>
              <w:autoSpaceDN w:val="0"/>
              <w:jc w:val="center"/>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1</w:t>
            </w:r>
          </w:p>
        </w:tc>
        <w:tc>
          <w:tcPr>
            <w:tcW w:w="1180" w:type="dxa"/>
            <w:tcBorders>
              <w:top w:val="nil"/>
              <w:left w:val="nil"/>
              <w:bottom w:val="single" w:color="000000" w:sz="4" w:space="0"/>
              <w:right w:val="single" w:color="000000" w:sz="4" w:space="0"/>
            </w:tcBorders>
            <w:vAlign w:val="center"/>
          </w:tcPr>
          <w:p>
            <w:pPr>
              <w:widowControl/>
              <w:kinsoku w:val="0"/>
              <w:autoSpaceDE w:val="0"/>
              <w:autoSpaceDN w:val="0"/>
              <w:jc w:val="right"/>
              <w:rPr>
                <w:rFonts w:ascii="仿宋" w:hAnsi="仿宋" w:eastAsia="仿宋" w:cs="宋体"/>
                <w:bCs/>
                <w:color w:val="000000"/>
                <w:kern w:val="0"/>
                <w:sz w:val="32"/>
                <w:szCs w:val="32"/>
              </w:rPr>
            </w:pPr>
          </w:p>
        </w:tc>
        <w:tc>
          <w:tcPr>
            <w:tcW w:w="1040" w:type="dxa"/>
            <w:tcBorders>
              <w:top w:val="nil"/>
              <w:left w:val="nil"/>
              <w:bottom w:val="single" w:color="000000" w:sz="4" w:space="0"/>
              <w:right w:val="single" w:color="000000" w:sz="4" w:space="0"/>
            </w:tcBorders>
            <w:vAlign w:val="center"/>
          </w:tcPr>
          <w:p>
            <w:pPr>
              <w:widowControl/>
              <w:kinsoku w:val="0"/>
              <w:autoSpaceDE w:val="0"/>
              <w:autoSpaceDN w:val="0"/>
              <w:jc w:val="right"/>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1</w:t>
            </w:r>
          </w:p>
        </w:tc>
      </w:tr>
      <w:tr>
        <w:tblPrEx>
          <w:tblCellMar>
            <w:top w:w="0" w:type="dxa"/>
            <w:left w:w="108" w:type="dxa"/>
            <w:bottom w:w="0" w:type="dxa"/>
            <w:right w:w="108" w:type="dxa"/>
          </w:tblCellMar>
        </w:tblPrEx>
        <w:trPr>
          <w:trHeight w:val="447" w:hRule="atLeast"/>
        </w:trPr>
        <w:tc>
          <w:tcPr>
            <w:tcW w:w="780" w:type="dxa"/>
            <w:tcBorders>
              <w:top w:val="nil"/>
              <w:left w:val="single" w:color="000000" w:sz="8" w:space="0"/>
              <w:bottom w:val="single" w:color="000000" w:sz="4" w:space="0"/>
              <w:right w:val="single" w:color="000000" w:sz="4" w:space="0"/>
            </w:tcBorders>
            <w:vAlign w:val="center"/>
          </w:tcPr>
          <w:p>
            <w:pPr>
              <w:widowControl/>
              <w:kinsoku w:val="0"/>
              <w:autoSpaceDE w:val="0"/>
              <w:autoSpaceDN w:val="0"/>
              <w:jc w:val="center"/>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合计</w:t>
            </w:r>
          </w:p>
        </w:tc>
        <w:tc>
          <w:tcPr>
            <w:tcW w:w="580" w:type="dxa"/>
            <w:tcBorders>
              <w:top w:val="nil"/>
              <w:left w:val="nil"/>
              <w:bottom w:val="single" w:color="000000" w:sz="4" w:space="0"/>
              <w:right w:val="single" w:color="000000" w:sz="4" w:space="0"/>
            </w:tcBorders>
            <w:vAlign w:val="center"/>
          </w:tcPr>
          <w:p>
            <w:pPr>
              <w:widowControl/>
              <w:kinsoku w:val="0"/>
              <w:autoSpaceDE w:val="0"/>
              <w:autoSpaceDN w:val="0"/>
              <w:jc w:val="center"/>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100</w:t>
            </w:r>
          </w:p>
        </w:tc>
        <w:tc>
          <w:tcPr>
            <w:tcW w:w="1960" w:type="dxa"/>
            <w:tcBorders>
              <w:top w:val="nil"/>
              <w:left w:val="nil"/>
              <w:bottom w:val="single" w:color="000000" w:sz="4" w:space="0"/>
              <w:right w:val="single" w:color="000000" w:sz="4" w:space="0"/>
            </w:tcBorders>
            <w:vAlign w:val="center"/>
          </w:tcPr>
          <w:p>
            <w:pPr>
              <w:widowControl/>
              <w:kinsoku w:val="0"/>
              <w:autoSpaceDE w:val="0"/>
              <w:autoSpaceDN w:val="0"/>
              <w:jc w:val="center"/>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w:t>
            </w:r>
          </w:p>
        </w:tc>
        <w:tc>
          <w:tcPr>
            <w:tcW w:w="960" w:type="dxa"/>
            <w:tcBorders>
              <w:top w:val="nil"/>
              <w:left w:val="nil"/>
              <w:bottom w:val="single" w:color="000000" w:sz="4" w:space="0"/>
              <w:right w:val="single" w:color="000000" w:sz="4" w:space="0"/>
            </w:tcBorders>
            <w:vAlign w:val="center"/>
          </w:tcPr>
          <w:p>
            <w:pPr>
              <w:widowControl/>
              <w:kinsoku w:val="0"/>
              <w:autoSpaceDE w:val="0"/>
              <w:autoSpaceDN w:val="0"/>
              <w:jc w:val="center"/>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100</w:t>
            </w:r>
          </w:p>
        </w:tc>
        <w:tc>
          <w:tcPr>
            <w:tcW w:w="2080" w:type="dxa"/>
            <w:tcBorders>
              <w:top w:val="nil"/>
              <w:left w:val="nil"/>
              <w:bottom w:val="single" w:color="000000" w:sz="4" w:space="0"/>
              <w:right w:val="single" w:color="000000" w:sz="4" w:space="0"/>
            </w:tcBorders>
            <w:vAlign w:val="center"/>
          </w:tcPr>
          <w:p>
            <w:pPr>
              <w:widowControl/>
              <w:kinsoku w:val="0"/>
              <w:autoSpaceDE w:val="0"/>
              <w:autoSpaceDN w:val="0"/>
              <w:jc w:val="center"/>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w:t>
            </w:r>
          </w:p>
        </w:tc>
        <w:tc>
          <w:tcPr>
            <w:tcW w:w="640" w:type="dxa"/>
            <w:tcBorders>
              <w:top w:val="nil"/>
              <w:left w:val="nil"/>
              <w:bottom w:val="single" w:color="000000" w:sz="4" w:space="0"/>
              <w:right w:val="single" w:color="000000" w:sz="4" w:space="0"/>
            </w:tcBorders>
            <w:vAlign w:val="center"/>
          </w:tcPr>
          <w:p>
            <w:pPr>
              <w:widowControl/>
              <w:kinsoku w:val="0"/>
              <w:autoSpaceDE w:val="0"/>
              <w:autoSpaceDN w:val="0"/>
              <w:jc w:val="center"/>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100</w:t>
            </w:r>
          </w:p>
        </w:tc>
        <w:tc>
          <w:tcPr>
            <w:tcW w:w="1180" w:type="dxa"/>
            <w:tcBorders>
              <w:top w:val="nil"/>
              <w:left w:val="nil"/>
              <w:bottom w:val="single" w:color="000000" w:sz="4" w:space="0"/>
              <w:right w:val="single" w:color="000000" w:sz="4" w:space="0"/>
            </w:tcBorders>
            <w:vAlign w:val="center"/>
          </w:tcPr>
          <w:p>
            <w:pPr>
              <w:widowControl/>
              <w:kinsoku w:val="0"/>
              <w:autoSpaceDE w:val="0"/>
              <w:autoSpaceDN w:val="0"/>
              <w:jc w:val="center"/>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w:t>
            </w:r>
          </w:p>
        </w:tc>
        <w:tc>
          <w:tcPr>
            <w:tcW w:w="1040" w:type="dxa"/>
            <w:tcBorders>
              <w:top w:val="nil"/>
              <w:left w:val="nil"/>
              <w:bottom w:val="single" w:color="000000" w:sz="4" w:space="0"/>
              <w:right w:val="single" w:color="000000" w:sz="4" w:space="0"/>
            </w:tcBorders>
            <w:vAlign w:val="center"/>
          </w:tcPr>
          <w:p>
            <w:pPr>
              <w:widowControl/>
              <w:kinsoku w:val="0"/>
              <w:autoSpaceDE w:val="0"/>
              <w:autoSpaceDN w:val="0"/>
              <w:jc w:val="right"/>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96</w:t>
            </w:r>
          </w:p>
        </w:tc>
      </w:tr>
    </w:tbl>
    <w:p>
      <w:pPr>
        <w:snapToGrid w:val="0"/>
        <w:spacing w:line="520" w:lineRule="exact"/>
        <w:ind w:firstLine="640" w:firstLineChars="200"/>
        <w:rPr>
          <w:rFonts w:ascii="仿宋" w:hAnsi="仿宋" w:eastAsia="仿宋" w:cs="宋体"/>
          <w:sz w:val="32"/>
          <w:szCs w:val="32"/>
        </w:rPr>
      </w:pPr>
    </w:p>
    <w:p>
      <w:pPr>
        <w:snapToGrid w:val="0"/>
        <w:spacing w:line="520" w:lineRule="exact"/>
        <w:ind w:firstLine="640" w:firstLineChars="200"/>
        <w:rPr>
          <w:rFonts w:ascii="仿宋" w:hAnsi="仿宋" w:eastAsia="仿宋" w:cs="宋体"/>
          <w:sz w:val="32"/>
          <w:szCs w:val="32"/>
        </w:rPr>
      </w:pPr>
      <w:r>
        <w:rPr>
          <w:rFonts w:hint="eastAsia" w:ascii="仿宋" w:hAnsi="仿宋" w:eastAsia="仿宋" w:cs="宋体"/>
          <w:sz w:val="32"/>
          <w:szCs w:val="32"/>
        </w:rPr>
        <w:t>（2）差异原因分析</w:t>
      </w:r>
    </w:p>
    <w:p>
      <w:pPr>
        <w:snapToGrid w:val="0"/>
        <w:spacing w:line="520" w:lineRule="exact"/>
        <w:ind w:firstLine="640" w:firstLineChars="200"/>
        <w:rPr>
          <w:rFonts w:ascii="仿宋" w:hAnsi="仿宋" w:eastAsia="仿宋" w:cs="宋体"/>
          <w:sz w:val="32"/>
          <w:szCs w:val="32"/>
        </w:rPr>
      </w:pPr>
      <w:r>
        <w:rPr>
          <w:rFonts w:hint="eastAsia" w:ascii="仿宋" w:hAnsi="仿宋" w:eastAsia="仿宋" w:cs="宋体"/>
          <w:sz w:val="32"/>
          <w:szCs w:val="32"/>
        </w:rPr>
        <w:t>事业收入有不确定性，稍有变动。</w:t>
      </w:r>
    </w:p>
    <w:p>
      <w:pPr>
        <w:snapToGrid w:val="0"/>
        <w:spacing w:line="520" w:lineRule="exact"/>
        <w:ind w:firstLine="642" w:firstLineChars="200"/>
        <w:rPr>
          <w:rFonts w:ascii="仿宋" w:hAnsi="仿宋" w:eastAsia="仿宋" w:cs="宋体"/>
          <w:b/>
          <w:sz w:val="32"/>
          <w:szCs w:val="32"/>
        </w:rPr>
      </w:pPr>
      <w:r>
        <w:rPr>
          <w:rFonts w:hint="eastAsia" w:ascii="仿宋" w:hAnsi="仿宋" w:eastAsia="仿宋" w:cs="宋体"/>
          <w:b/>
          <w:sz w:val="32"/>
          <w:szCs w:val="32"/>
        </w:rPr>
        <w:t>2．收入支出结构分析。</w:t>
      </w:r>
    </w:p>
    <w:p>
      <w:pPr>
        <w:snapToGrid w:val="0"/>
        <w:spacing w:line="520" w:lineRule="exact"/>
        <w:ind w:firstLine="640" w:firstLineChars="200"/>
        <w:rPr>
          <w:rFonts w:ascii="仿宋" w:hAnsi="仿宋" w:eastAsia="仿宋" w:cs="宋体"/>
          <w:sz w:val="32"/>
          <w:szCs w:val="32"/>
        </w:rPr>
      </w:pPr>
      <w:r>
        <w:rPr>
          <w:rFonts w:hint="eastAsia" w:ascii="仿宋" w:hAnsi="仿宋" w:eastAsia="仿宋" w:cs="宋体"/>
          <w:sz w:val="32"/>
          <w:szCs w:val="32"/>
        </w:rPr>
        <w:t>（1）各项收入占总收入的比重，各项支出占总支出的比重</w:t>
      </w:r>
    </w:p>
    <w:p>
      <w:pPr>
        <w:snapToGrid w:val="0"/>
        <w:spacing w:line="520" w:lineRule="exact"/>
        <w:ind w:firstLine="640" w:firstLineChars="200"/>
        <w:rPr>
          <w:rFonts w:ascii="仿宋" w:hAnsi="仿宋" w:eastAsia="仿宋" w:cs="宋体"/>
          <w:sz w:val="32"/>
          <w:szCs w:val="32"/>
        </w:rPr>
      </w:pPr>
      <w:r>
        <w:rPr>
          <w:rFonts w:hint="eastAsia" w:ascii="仿宋" w:hAnsi="仿宋" w:eastAsia="仿宋" w:cs="宋体"/>
          <w:sz w:val="32"/>
          <w:szCs w:val="32"/>
        </w:rPr>
        <w:t>全年总收入1193.805万元,其中财政拨款收入1101.359万元，事业收入194.584万元。</w:t>
      </w:r>
    </w:p>
    <w:p>
      <w:pPr>
        <w:snapToGrid w:val="0"/>
        <w:spacing w:line="520" w:lineRule="exact"/>
        <w:ind w:firstLine="640" w:firstLineChars="200"/>
        <w:rPr>
          <w:rFonts w:ascii="仿宋" w:hAnsi="仿宋" w:eastAsia="仿宋" w:cs="宋体"/>
          <w:sz w:val="32"/>
          <w:szCs w:val="32"/>
        </w:rPr>
      </w:pPr>
      <w:r>
        <w:rPr>
          <w:rFonts w:hint="eastAsia" w:ascii="仿宋" w:hAnsi="仿宋" w:eastAsia="仿宋" w:cs="宋体"/>
          <w:sz w:val="32"/>
          <w:szCs w:val="32"/>
        </w:rPr>
        <w:t>全年总支出1193.805万元，其中人员支出</w:t>
      </w:r>
      <w:r>
        <w:rPr>
          <w:rFonts w:hint="eastAsia" w:ascii="仿宋" w:hAnsi="仿宋" w:eastAsia="仿宋" w:cs="宋体"/>
          <w:bCs/>
          <w:kern w:val="0"/>
          <w:sz w:val="32"/>
          <w:szCs w:val="32"/>
        </w:rPr>
        <w:t>893.756万元，占总支出的74.9%；商品和服务支出116.73万元，占总支出的9.8%；项目支出183.31万元，占总支出的15.3%。</w:t>
      </w:r>
    </w:p>
    <w:p>
      <w:pPr>
        <w:snapToGrid w:val="0"/>
        <w:spacing w:line="520" w:lineRule="exact"/>
        <w:ind w:firstLine="640" w:firstLineChars="200"/>
        <w:rPr>
          <w:rFonts w:ascii="仿宋" w:hAnsi="仿宋" w:eastAsia="仿宋" w:cs="宋体"/>
          <w:sz w:val="32"/>
          <w:szCs w:val="32"/>
        </w:rPr>
      </w:pPr>
      <w:r>
        <w:rPr>
          <w:rFonts w:hint="eastAsia" w:ascii="仿宋" w:hAnsi="仿宋" w:eastAsia="仿宋" w:cs="宋体"/>
          <w:sz w:val="32"/>
          <w:szCs w:val="32"/>
        </w:rPr>
        <w:t>（2）收入支出增减变动的原因分析</w:t>
      </w:r>
    </w:p>
    <w:p>
      <w:pPr>
        <w:snapToGrid w:val="0"/>
        <w:spacing w:line="520" w:lineRule="exact"/>
        <w:ind w:firstLine="640" w:firstLineChars="200"/>
        <w:rPr>
          <w:rFonts w:ascii="仿宋" w:hAnsi="仿宋" w:eastAsia="仿宋" w:cs="宋体"/>
          <w:sz w:val="32"/>
          <w:szCs w:val="32"/>
        </w:rPr>
      </w:pPr>
      <w:r>
        <w:rPr>
          <w:rFonts w:hint="eastAsia" w:ascii="仿宋" w:hAnsi="仿宋" w:eastAsia="仿宋" w:cs="宋体"/>
          <w:sz w:val="32"/>
          <w:szCs w:val="32"/>
        </w:rPr>
        <w:t>2022年收入支出稍微增加，主要原因是增加了工资。</w:t>
      </w:r>
    </w:p>
    <w:p>
      <w:pPr>
        <w:snapToGrid w:val="0"/>
        <w:spacing w:line="520" w:lineRule="exact"/>
        <w:ind w:firstLine="642" w:firstLineChars="200"/>
        <w:rPr>
          <w:rFonts w:ascii="仿宋" w:hAnsi="仿宋" w:eastAsia="仿宋" w:cs="宋体"/>
          <w:b/>
          <w:sz w:val="32"/>
          <w:szCs w:val="32"/>
        </w:rPr>
      </w:pPr>
      <w:r>
        <w:rPr>
          <w:rFonts w:hint="eastAsia" w:ascii="仿宋" w:hAnsi="仿宋" w:eastAsia="仿宋" w:cs="宋体"/>
          <w:b/>
          <w:sz w:val="32"/>
          <w:szCs w:val="32"/>
        </w:rPr>
        <w:t>3．支出按经济分类科目分析。</w:t>
      </w:r>
    </w:p>
    <w:p>
      <w:pPr>
        <w:snapToGrid w:val="0"/>
        <w:spacing w:line="520" w:lineRule="exact"/>
        <w:ind w:firstLine="640" w:firstLineChars="200"/>
        <w:rPr>
          <w:rFonts w:ascii="仿宋" w:hAnsi="仿宋" w:eastAsia="仿宋" w:cs="宋体"/>
          <w:sz w:val="32"/>
          <w:szCs w:val="32"/>
        </w:rPr>
      </w:pPr>
      <w:r>
        <w:rPr>
          <w:rFonts w:hint="eastAsia" w:ascii="仿宋" w:hAnsi="仿宋" w:eastAsia="仿宋" w:cs="宋体"/>
          <w:sz w:val="32"/>
          <w:szCs w:val="32"/>
        </w:rPr>
        <w:t>（1）“三公”经费支出情况：</w:t>
      </w:r>
    </w:p>
    <w:p>
      <w:pPr>
        <w:snapToGrid w:val="0"/>
        <w:spacing w:line="520" w:lineRule="exact"/>
        <w:ind w:firstLine="640" w:firstLineChars="200"/>
        <w:rPr>
          <w:rFonts w:ascii="仿宋" w:hAnsi="仿宋" w:eastAsia="仿宋" w:cs="宋体"/>
          <w:sz w:val="32"/>
          <w:szCs w:val="32"/>
        </w:rPr>
      </w:pPr>
      <w:r>
        <w:rPr>
          <w:rFonts w:hint="eastAsia" w:ascii="仿宋" w:hAnsi="仿宋" w:eastAsia="仿宋" w:cs="宋体"/>
          <w:sz w:val="32"/>
          <w:szCs w:val="32"/>
        </w:rPr>
        <w:t>2022年“三公”经费决算为21.97万元，较2020年16.68万元，增加5.29万元，主要原因是2022年增加了执法车辆。</w:t>
      </w:r>
    </w:p>
    <w:p>
      <w:pPr>
        <w:snapToGrid w:val="0"/>
        <w:spacing w:line="520" w:lineRule="exact"/>
        <w:rPr>
          <w:rFonts w:ascii="仿宋" w:hAnsi="仿宋" w:eastAsia="仿宋" w:cs="宋体"/>
          <w:sz w:val="32"/>
          <w:szCs w:val="32"/>
        </w:rPr>
      </w:pPr>
      <w:r>
        <w:rPr>
          <w:rFonts w:hint="eastAsia" w:ascii="仿宋" w:hAnsi="仿宋" w:eastAsia="仿宋" w:cs="宋体"/>
          <w:sz w:val="32"/>
          <w:szCs w:val="32"/>
        </w:rPr>
        <w:t xml:space="preserve">    （2）会议费支出情况：</w:t>
      </w:r>
    </w:p>
    <w:p>
      <w:pPr>
        <w:snapToGrid w:val="0"/>
        <w:spacing w:line="520" w:lineRule="exact"/>
        <w:rPr>
          <w:rFonts w:ascii="仿宋" w:hAnsi="仿宋" w:eastAsia="仿宋" w:cs="宋体"/>
          <w:sz w:val="32"/>
          <w:szCs w:val="32"/>
        </w:rPr>
      </w:pPr>
      <w:r>
        <w:rPr>
          <w:rFonts w:hint="eastAsia" w:ascii="仿宋" w:hAnsi="仿宋" w:eastAsia="仿宋" w:cs="宋体"/>
          <w:sz w:val="32"/>
          <w:szCs w:val="32"/>
        </w:rPr>
        <w:t>　　 2022年会议费决算为0元，较2020年0元，持平 。</w:t>
      </w:r>
    </w:p>
    <w:p>
      <w:pPr>
        <w:snapToGrid w:val="0"/>
        <w:spacing w:line="520" w:lineRule="exact"/>
        <w:ind w:firstLine="640" w:firstLineChars="200"/>
        <w:rPr>
          <w:rFonts w:ascii="仿宋" w:hAnsi="仿宋" w:eastAsia="仿宋" w:cs="宋体"/>
          <w:sz w:val="32"/>
          <w:szCs w:val="32"/>
        </w:rPr>
      </w:pPr>
      <w:r>
        <w:rPr>
          <w:rFonts w:hint="eastAsia" w:ascii="仿宋" w:hAnsi="仿宋" w:eastAsia="仿宋" w:cs="宋体"/>
          <w:sz w:val="32"/>
          <w:szCs w:val="32"/>
        </w:rPr>
        <w:t>（3）培训费支出情况：</w:t>
      </w:r>
    </w:p>
    <w:p>
      <w:pPr>
        <w:snapToGrid w:val="0"/>
        <w:spacing w:line="520" w:lineRule="exact"/>
        <w:rPr>
          <w:rFonts w:ascii="仿宋" w:hAnsi="仿宋" w:eastAsia="仿宋" w:cs="宋体"/>
          <w:sz w:val="32"/>
          <w:szCs w:val="32"/>
        </w:rPr>
      </w:pPr>
      <w:r>
        <w:rPr>
          <w:rFonts w:hint="eastAsia" w:ascii="仿宋" w:hAnsi="仿宋" w:eastAsia="仿宋" w:cs="宋体"/>
          <w:sz w:val="32"/>
          <w:szCs w:val="32"/>
        </w:rPr>
        <w:t>　　2022年培训费决算为2440元，较2021年19760元，减少17320元，主要原因是减少了执法培训。</w:t>
      </w:r>
    </w:p>
    <w:p>
      <w:pPr>
        <w:snapToGrid w:val="0"/>
        <w:spacing w:line="520" w:lineRule="exact"/>
        <w:ind w:firstLine="640" w:firstLineChars="200"/>
        <w:rPr>
          <w:rFonts w:ascii="仿宋" w:hAnsi="仿宋" w:eastAsia="仿宋" w:cs="宋体"/>
          <w:sz w:val="32"/>
          <w:szCs w:val="32"/>
        </w:rPr>
      </w:pPr>
      <w:r>
        <w:rPr>
          <w:rFonts w:hint="eastAsia" w:ascii="仿宋" w:hAnsi="仿宋" w:eastAsia="仿宋" w:cs="宋体"/>
          <w:sz w:val="32"/>
          <w:szCs w:val="32"/>
        </w:rPr>
        <w:t>（4）其他对单位影响较大的支出情况：无</w:t>
      </w:r>
    </w:p>
    <w:p>
      <w:pPr>
        <w:snapToGrid w:val="0"/>
        <w:spacing w:line="520" w:lineRule="exact"/>
        <w:ind w:firstLine="640" w:firstLineChars="200"/>
        <w:rPr>
          <w:rFonts w:ascii="仿宋" w:hAnsi="仿宋" w:eastAsia="仿宋" w:cs="宋体"/>
          <w:sz w:val="32"/>
          <w:szCs w:val="32"/>
        </w:rPr>
      </w:pPr>
      <w:r>
        <w:rPr>
          <w:rFonts w:hint="eastAsia" w:ascii="仿宋" w:hAnsi="仿宋" w:eastAsia="仿宋" w:cs="宋体"/>
          <w:sz w:val="32"/>
          <w:szCs w:val="32"/>
        </w:rPr>
        <w:t>（5）重点经济分类支出中存在的问题及改进措施：无</w:t>
      </w:r>
    </w:p>
    <w:p>
      <w:pPr>
        <w:snapToGrid w:val="0"/>
        <w:spacing w:line="520" w:lineRule="exact"/>
        <w:ind w:firstLine="642" w:firstLineChars="200"/>
        <w:rPr>
          <w:rFonts w:ascii="仿宋" w:hAnsi="仿宋" w:eastAsia="仿宋" w:cs="宋体"/>
          <w:b/>
          <w:sz w:val="32"/>
          <w:szCs w:val="32"/>
        </w:rPr>
      </w:pPr>
      <w:r>
        <w:rPr>
          <w:rFonts w:hint="eastAsia" w:ascii="仿宋" w:hAnsi="仿宋" w:eastAsia="仿宋" w:cs="宋体"/>
          <w:b/>
          <w:sz w:val="32"/>
          <w:szCs w:val="32"/>
        </w:rPr>
        <w:t>4.财政拨款收入、支出分析。</w:t>
      </w:r>
    </w:p>
    <w:p>
      <w:pPr>
        <w:snapToGrid w:val="0"/>
        <w:spacing w:line="520" w:lineRule="exact"/>
        <w:ind w:firstLine="640" w:firstLineChars="200"/>
        <w:rPr>
          <w:rFonts w:ascii="仿宋" w:hAnsi="仿宋" w:eastAsia="仿宋" w:cs="宋体"/>
          <w:b/>
          <w:sz w:val="32"/>
          <w:szCs w:val="32"/>
        </w:rPr>
      </w:pPr>
      <w:r>
        <w:rPr>
          <w:rFonts w:hint="eastAsia" w:ascii="仿宋" w:hAnsi="仿宋" w:eastAsia="仿宋" w:cs="宋体"/>
          <w:color w:val="000000"/>
          <w:sz w:val="32"/>
          <w:szCs w:val="32"/>
        </w:rPr>
        <w:t>本年度财政拨款收入1193.805万元，支出1193.805万元，其中：基本支出1010.487万元（包括人员经费893.757万元和日常公用经费116.73万元）、项目支出183.318万元。</w:t>
      </w:r>
    </w:p>
    <w:p>
      <w:pPr>
        <w:snapToGrid w:val="0"/>
        <w:spacing w:line="520" w:lineRule="exact"/>
        <w:ind w:firstLine="642" w:firstLineChars="200"/>
        <w:rPr>
          <w:rFonts w:ascii="仿宋" w:hAnsi="仿宋" w:eastAsia="仿宋" w:cs="宋体"/>
          <w:b/>
          <w:sz w:val="32"/>
          <w:szCs w:val="32"/>
        </w:rPr>
      </w:pPr>
      <w:r>
        <w:rPr>
          <w:rFonts w:hint="eastAsia" w:ascii="仿宋" w:hAnsi="仿宋" w:eastAsia="仿宋" w:cs="宋体"/>
          <w:b/>
          <w:sz w:val="32"/>
          <w:szCs w:val="32"/>
        </w:rPr>
        <w:t>5.非财政拨款收入分析。</w:t>
      </w:r>
    </w:p>
    <w:p>
      <w:pPr>
        <w:snapToGrid w:val="0"/>
        <w:spacing w:line="520" w:lineRule="exact"/>
        <w:ind w:firstLine="640" w:firstLineChars="200"/>
        <w:rPr>
          <w:rFonts w:ascii="仿宋" w:hAnsi="仿宋" w:eastAsia="仿宋" w:cs="宋体"/>
          <w:sz w:val="32"/>
          <w:szCs w:val="32"/>
        </w:rPr>
      </w:pPr>
      <w:r>
        <w:rPr>
          <w:rFonts w:hint="eastAsia" w:ascii="仿宋" w:hAnsi="仿宋" w:eastAsia="仿宋" w:cs="宋体"/>
          <w:sz w:val="32"/>
          <w:szCs w:val="32"/>
        </w:rPr>
        <w:t>本年度非财政拨款收入82.725万元，均为事业收入。</w:t>
      </w:r>
    </w:p>
    <w:p>
      <w:pPr>
        <w:snapToGrid w:val="0"/>
        <w:spacing w:line="520" w:lineRule="exact"/>
        <w:ind w:firstLine="642" w:firstLineChars="200"/>
        <w:rPr>
          <w:rFonts w:ascii="仿宋" w:hAnsi="仿宋" w:eastAsia="仿宋" w:cs="宋体"/>
          <w:b/>
          <w:sz w:val="32"/>
          <w:szCs w:val="32"/>
        </w:rPr>
      </w:pPr>
      <w:r>
        <w:rPr>
          <w:rFonts w:hint="eastAsia" w:ascii="仿宋" w:hAnsi="仿宋" w:eastAsia="仿宋" w:cs="宋体"/>
          <w:b/>
          <w:sz w:val="32"/>
          <w:szCs w:val="32"/>
        </w:rPr>
        <w:t>（三）年末结转和结余情况。</w:t>
      </w:r>
    </w:p>
    <w:p>
      <w:pPr>
        <w:snapToGrid w:val="0"/>
        <w:spacing w:line="52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本年度财政拨款收入1193.805万元，支出1193.805万元，无年末结转结余。其中：</w:t>
      </w:r>
      <w:bookmarkStart w:id="2" w:name="YS060103"/>
      <w:r>
        <w:rPr>
          <w:rFonts w:hint="eastAsia" w:ascii="仿宋" w:hAnsi="仿宋" w:eastAsia="仿宋" w:cs="宋体"/>
          <w:color w:val="000000"/>
          <w:sz w:val="32"/>
          <w:szCs w:val="32"/>
        </w:rPr>
        <w:t>基本支出1010.487万元（包括人员经费893.757万元和日常公用经费116.73万元）、项目支出183.318万元。</w:t>
      </w:r>
    </w:p>
    <w:p>
      <w:pPr>
        <w:snapToGrid w:val="0"/>
        <w:spacing w:line="520" w:lineRule="exact"/>
        <w:ind w:firstLine="642" w:firstLineChars="200"/>
        <w:rPr>
          <w:rFonts w:ascii="仿宋" w:hAnsi="仿宋" w:eastAsia="仿宋" w:cs="宋体"/>
          <w:b/>
          <w:sz w:val="32"/>
          <w:szCs w:val="32"/>
        </w:rPr>
      </w:pPr>
      <w:r>
        <w:rPr>
          <w:rFonts w:hint="eastAsia" w:ascii="仿宋" w:hAnsi="仿宋" w:eastAsia="仿宋" w:cs="宋体"/>
          <w:b/>
          <w:sz w:val="32"/>
          <w:szCs w:val="32"/>
        </w:rPr>
        <w:t>（四）与预算支出相关的其他指标分析。</w:t>
      </w:r>
    </w:p>
    <w:p>
      <w:pPr>
        <w:pStyle w:val="4"/>
        <w:spacing w:before="0" w:beforeAutospacing="0" w:after="0" w:afterAutospacing="0"/>
        <w:ind w:firstLine="480"/>
        <w:jc w:val="both"/>
        <w:rPr>
          <w:rFonts w:ascii="仿宋" w:hAnsi="仿宋" w:eastAsia="仿宋"/>
          <w:color w:val="000000"/>
          <w:sz w:val="32"/>
          <w:szCs w:val="32"/>
        </w:rPr>
      </w:pPr>
      <w:r>
        <w:rPr>
          <w:rFonts w:hint="eastAsia" w:ascii="仿宋" w:hAnsi="仿宋" w:eastAsia="仿宋"/>
          <w:color w:val="000000"/>
          <w:sz w:val="32"/>
          <w:szCs w:val="32"/>
        </w:rPr>
        <w:t>年末资产为1484173元，年初资产为</w:t>
      </w:r>
      <w:r>
        <w:rPr>
          <w:rFonts w:ascii="仿宋" w:hAnsi="仿宋" w:eastAsia="仿宋"/>
          <w:color w:val="000000"/>
          <w:sz w:val="32"/>
          <w:szCs w:val="32"/>
        </w:rPr>
        <w:t>1437813</w:t>
      </w:r>
      <w:r>
        <w:rPr>
          <w:rFonts w:hint="eastAsia" w:ascii="仿宋" w:hAnsi="仿宋" w:eastAsia="仿宋"/>
          <w:color w:val="000000"/>
          <w:sz w:val="32"/>
          <w:szCs w:val="32"/>
        </w:rPr>
        <w:t>元，较之增幅9%，原因为办公楼添置了空调、办公桌等固定资产。</w:t>
      </w:r>
    </w:p>
    <w:p>
      <w:pPr>
        <w:snapToGrid w:val="0"/>
        <w:spacing w:line="520" w:lineRule="exact"/>
        <w:rPr>
          <w:rFonts w:ascii="仿宋" w:hAnsi="仿宋" w:eastAsia="仿宋" w:cs="宋体"/>
          <w:b/>
          <w:sz w:val="32"/>
          <w:szCs w:val="32"/>
        </w:rPr>
      </w:pPr>
      <w:r>
        <w:rPr>
          <w:rFonts w:hint="eastAsia" w:ascii="仿宋" w:hAnsi="仿宋" w:eastAsia="仿宋" w:cs="宋体"/>
          <w:b/>
          <w:sz w:val="32"/>
          <w:szCs w:val="32"/>
        </w:rPr>
        <w:t xml:space="preserve">    （五）绩效目标完成情况。</w:t>
      </w:r>
    </w:p>
    <w:p>
      <w:pPr>
        <w:snapToGrid w:val="0"/>
        <w:spacing w:line="520" w:lineRule="exact"/>
        <w:ind w:firstLine="640" w:firstLineChars="200"/>
        <w:rPr>
          <w:rFonts w:ascii="仿宋" w:hAnsi="仿宋" w:eastAsia="仿宋" w:cs="宋体"/>
          <w:sz w:val="32"/>
          <w:szCs w:val="32"/>
        </w:rPr>
      </w:pPr>
      <w:r>
        <w:rPr>
          <w:rFonts w:hint="eastAsia" w:ascii="仿宋" w:hAnsi="仿宋" w:eastAsia="仿宋" w:cs="宋体"/>
          <w:sz w:val="32"/>
          <w:szCs w:val="32"/>
        </w:rPr>
        <w:t>1.概述项目绩效目标完成情况。</w:t>
      </w:r>
    </w:p>
    <w:p>
      <w:pPr>
        <w:widowControl/>
        <w:shd w:val="clear" w:color="auto" w:fill="FFFFFF"/>
        <w:spacing w:line="540" w:lineRule="atLeast"/>
        <w:ind w:firstLine="560"/>
        <w:jc w:val="left"/>
        <w:rPr>
          <w:rFonts w:ascii="仿宋" w:hAnsi="仿宋" w:eastAsia="仿宋" w:cs="宋体"/>
          <w:color w:val="313131"/>
          <w:kern w:val="0"/>
          <w:sz w:val="32"/>
          <w:szCs w:val="32"/>
        </w:rPr>
      </w:pPr>
      <w:r>
        <w:rPr>
          <w:rFonts w:hint="eastAsia" w:ascii="仿宋" w:hAnsi="仿宋" w:eastAsia="仿宋" w:cs="宋体"/>
          <w:color w:val="000000"/>
          <w:kern w:val="0"/>
          <w:sz w:val="32"/>
          <w:szCs w:val="32"/>
        </w:rPr>
        <w:t>城管监察工作是一项提升城市品位和竞争力、惠民生的综合工程。2022年城管大队通过开展各种大型市容秩序整治工作，使</w:t>
      </w:r>
      <w:r>
        <w:rPr>
          <w:rFonts w:hint="eastAsia" w:ascii="仿宋" w:hAnsi="仿宋" w:eastAsia="仿宋" w:cs="宋体"/>
          <w:color w:val="313131"/>
          <w:kern w:val="0"/>
          <w:sz w:val="32"/>
          <w:szCs w:val="32"/>
        </w:rPr>
        <w:t>沅江城区的市容秩序状况得到了进一步改善。这项工作对提高城市品位，促进经济社会综合发展和提高市民幸福指数，巩固沅江市作为国家卫生城市的地位起到了积极作用。</w:t>
      </w:r>
    </w:p>
    <w:p>
      <w:pPr>
        <w:widowControl/>
        <w:shd w:val="clear" w:color="auto" w:fill="FFFFFF"/>
        <w:spacing w:line="540" w:lineRule="atLeast"/>
        <w:jc w:val="left"/>
        <w:rPr>
          <w:rFonts w:ascii="仿宋" w:hAnsi="仿宋" w:eastAsia="仿宋" w:cs="宋体"/>
          <w:color w:val="313131"/>
          <w:kern w:val="0"/>
          <w:sz w:val="32"/>
          <w:szCs w:val="32"/>
        </w:rPr>
      </w:pPr>
      <w:r>
        <w:rPr>
          <w:rFonts w:hint="eastAsia" w:ascii="仿宋" w:hAnsi="仿宋" w:eastAsia="仿宋" w:cs="宋体"/>
          <w:color w:val="313131"/>
          <w:kern w:val="0"/>
          <w:sz w:val="32"/>
          <w:szCs w:val="32"/>
        </w:rPr>
        <w:t xml:space="preserve">    通过采用定量分析和定性分析相结合的方法，从预算编制、执行、资金使用、监管以及财务会计信息、项目组织管理、项目业绩完成等方面对专项资金进行了综合评价，形成综合绩效评价结论。根据《2022年专项资金绩效评价指标体系表》，综合得分93分，绩效评价等级为“良好”。</w:t>
      </w:r>
    </w:p>
    <w:p>
      <w:pPr>
        <w:snapToGrid w:val="0"/>
        <w:spacing w:line="520" w:lineRule="exact"/>
        <w:ind w:firstLine="640" w:firstLineChars="200"/>
        <w:rPr>
          <w:rFonts w:ascii="仿宋" w:hAnsi="仿宋" w:eastAsia="仿宋" w:cs="宋体"/>
          <w:sz w:val="32"/>
          <w:szCs w:val="32"/>
        </w:rPr>
      </w:pPr>
      <w:r>
        <w:rPr>
          <w:rFonts w:hint="eastAsia" w:ascii="仿宋" w:hAnsi="仿宋" w:eastAsia="仿宋" w:cs="宋体"/>
          <w:sz w:val="32"/>
          <w:szCs w:val="32"/>
        </w:rPr>
        <w:t>2.概述本单位整体支出绩效目标实现情况。</w:t>
      </w:r>
    </w:p>
    <w:p>
      <w:pPr>
        <w:snapToGrid w:val="0"/>
        <w:spacing w:line="520" w:lineRule="exact"/>
        <w:ind w:firstLine="640" w:firstLineChars="200"/>
        <w:rPr>
          <w:rFonts w:ascii="仿宋" w:hAnsi="仿宋" w:eastAsia="仿宋" w:cs="宋体"/>
          <w:sz w:val="32"/>
          <w:szCs w:val="32"/>
        </w:rPr>
      </w:pPr>
      <w:r>
        <w:rPr>
          <w:rFonts w:hint="eastAsia" w:ascii="仿宋" w:hAnsi="仿宋" w:eastAsia="仿宋" w:cs="宋体"/>
          <w:color w:val="000000"/>
          <w:kern w:val="0"/>
          <w:sz w:val="32"/>
          <w:szCs w:val="32"/>
        </w:rPr>
        <w:t>通过认真对照《2022年部门整体支出绩效评价指标表》开展自评，我大队在“投入”、“过程”、“产出”、“效果”等方面都执行较好，自评得分96分。扣分的原因主要是：资金预算编制不够细化，公益性和创新性项目比例较低，社会满意度一般等。</w:t>
      </w:r>
    </w:p>
    <w:p>
      <w:pPr>
        <w:snapToGrid w:val="0"/>
        <w:spacing w:line="520" w:lineRule="exact"/>
        <w:ind w:firstLine="642" w:firstLineChars="200"/>
        <w:rPr>
          <w:rFonts w:ascii="仿宋" w:hAnsi="仿宋" w:eastAsia="仿宋" w:cs="宋体"/>
          <w:b/>
          <w:sz w:val="32"/>
          <w:szCs w:val="32"/>
        </w:rPr>
      </w:pPr>
      <w:r>
        <w:rPr>
          <w:rFonts w:hint="eastAsia" w:ascii="仿宋" w:hAnsi="仿宋" w:eastAsia="仿宋" w:cs="宋体"/>
          <w:b/>
          <w:sz w:val="32"/>
          <w:szCs w:val="32"/>
        </w:rPr>
        <w:t>（六）当年预算执行及绩效管理中存在问题、原因及改进措施。</w:t>
      </w:r>
    </w:p>
    <w:bookmarkEnd w:id="2"/>
    <w:p>
      <w:pPr>
        <w:snapToGrid w:val="0"/>
        <w:spacing w:line="520" w:lineRule="exact"/>
        <w:ind w:firstLine="640" w:firstLineChars="200"/>
        <w:rPr>
          <w:rFonts w:ascii="仿宋" w:hAnsi="仿宋" w:eastAsia="仿宋" w:cs="宋体"/>
          <w:color w:val="000000"/>
          <w:kern w:val="0"/>
          <w:sz w:val="32"/>
          <w:szCs w:val="32"/>
        </w:rPr>
      </w:pPr>
      <w:bookmarkStart w:id="3" w:name="YS060104"/>
      <w:r>
        <w:rPr>
          <w:rFonts w:hint="eastAsia" w:ascii="仿宋" w:hAnsi="仿宋" w:eastAsia="仿宋" w:cs="宋体"/>
          <w:color w:val="000000"/>
          <w:kern w:val="0"/>
          <w:sz w:val="32"/>
          <w:szCs w:val="32"/>
        </w:rPr>
        <w:t>１、进一步完善、明确和细化各项费用支出管理制度，严格控制招待费和各项费用支出。</w:t>
      </w:r>
    </w:p>
    <w:p>
      <w:pPr>
        <w:snapToGrid w:val="0"/>
        <w:spacing w:line="52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２、加强固定资产的管理，配置专管部门和专管人员，建立固定资产卡片，切实做到账卡相符、账物相符。</w:t>
      </w:r>
    </w:p>
    <w:p>
      <w:pPr>
        <w:snapToGrid w:val="0"/>
        <w:spacing w:line="52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３、预算财务分析常态化，定期做好预算支出财务分析。</w:t>
      </w:r>
    </w:p>
    <w:p>
      <w:pPr>
        <w:snapToGrid w:val="0"/>
        <w:spacing w:line="520" w:lineRule="exact"/>
        <w:ind w:firstLine="640" w:firstLineChars="200"/>
        <w:rPr>
          <w:rFonts w:ascii="仿宋" w:hAnsi="仿宋" w:eastAsia="仿宋" w:cs="宋体"/>
          <w:sz w:val="32"/>
          <w:szCs w:val="32"/>
        </w:rPr>
      </w:pPr>
      <w:r>
        <w:rPr>
          <w:rFonts w:hint="eastAsia" w:ascii="仿宋" w:hAnsi="仿宋" w:eastAsia="仿宋" w:cs="宋体"/>
          <w:sz w:val="32"/>
          <w:szCs w:val="32"/>
        </w:rPr>
        <w:t>三、本年度部门决算等财务工作开展情况</w:t>
      </w:r>
    </w:p>
    <w:bookmarkEnd w:id="3"/>
    <w:p>
      <w:pPr>
        <w:snapToGrid w:val="0"/>
        <w:spacing w:line="520" w:lineRule="exact"/>
        <w:ind w:firstLine="640" w:firstLineChars="200"/>
        <w:rPr>
          <w:rFonts w:ascii="仿宋" w:hAnsi="仿宋" w:eastAsia="仿宋" w:cs="宋体"/>
          <w:sz w:val="32"/>
          <w:szCs w:val="32"/>
        </w:rPr>
      </w:pPr>
      <w:r>
        <w:rPr>
          <w:rFonts w:hint="eastAsia" w:ascii="仿宋" w:hAnsi="仿宋" w:eastAsia="仿宋" w:cs="宋体"/>
          <w:sz w:val="32"/>
          <w:szCs w:val="32"/>
        </w:rPr>
        <w:t>（一）本单位财务管理、绩效管理、决算组织、编报、审核情况。</w:t>
      </w:r>
    </w:p>
    <w:p>
      <w:pPr>
        <w:kinsoku w:val="0"/>
        <w:autoSpaceDE w:val="0"/>
        <w:autoSpaceDN w:val="0"/>
        <w:snapToGrid w:val="0"/>
        <w:spacing w:line="520" w:lineRule="exact"/>
        <w:ind w:firstLine="640" w:firstLineChars="200"/>
        <w:rPr>
          <w:rFonts w:ascii="仿宋" w:hAnsi="仿宋" w:eastAsia="仿宋" w:cs="宋体"/>
          <w:bCs/>
          <w:sz w:val="32"/>
          <w:szCs w:val="32"/>
        </w:rPr>
      </w:pPr>
      <w:r>
        <w:rPr>
          <w:rFonts w:hint="eastAsia" w:ascii="仿宋" w:hAnsi="仿宋" w:eastAsia="仿宋" w:cs="宋体"/>
          <w:bCs/>
          <w:sz w:val="32"/>
          <w:szCs w:val="32"/>
        </w:rPr>
        <w:t>大队对财务进行规范化管理，同财政部门及时沟通学习，积极进行财政部门组织的决算、编报、审核等方面工作按时完成，认真如实填报。</w:t>
      </w:r>
    </w:p>
    <w:p>
      <w:pPr>
        <w:snapToGrid w:val="0"/>
        <w:spacing w:line="520" w:lineRule="exact"/>
        <w:ind w:firstLine="640" w:firstLineChars="200"/>
        <w:rPr>
          <w:rFonts w:ascii="仿宋" w:hAnsi="仿宋" w:eastAsia="仿宋" w:cs="宋体"/>
          <w:sz w:val="32"/>
          <w:szCs w:val="32"/>
        </w:rPr>
      </w:pPr>
      <w:r>
        <w:rPr>
          <w:rFonts w:hint="eastAsia" w:ascii="仿宋" w:hAnsi="仿宋" w:eastAsia="仿宋" w:cs="宋体"/>
          <w:sz w:val="32"/>
          <w:szCs w:val="32"/>
        </w:rPr>
        <w:t>（二）本单位决算及绩效信息公开工作开展情况。</w:t>
      </w:r>
    </w:p>
    <w:p>
      <w:pPr>
        <w:snapToGrid w:val="0"/>
        <w:spacing w:line="520" w:lineRule="exact"/>
        <w:ind w:firstLine="640" w:firstLineChars="200"/>
        <w:rPr>
          <w:rFonts w:ascii="仿宋" w:hAnsi="仿宋" w:eastAsia="仿宋" w:cs="宋体"/>
          <w:sz w:val="32"/>
          <w:szCs w:val="32"/>
        </w:rPr>
      </w:pPr>
      <w:r>
        <w:rPr>
          <w:rFonts w:hint="eastAsia" w:ascii="仿宋" w:hAnsi="仿宋" w:eastAsia="仿宋" w:cs="宋体"/>
          <w:bCs/>
          <w:sz w:val="32"/>
          <w:szCs w:val="32"/>
        </w:rPr>
        <w:t>大队对预算和决算公开工作、及主管部门对所属单位按规定批复决算的各项工作按规定认真执行，该填制及时填制，该公开及时公开，该上报及时上报。</w:t>
      </w:r>
    </w:p>
    <w:p>
      <w:pPr>
        <w:snapToGrid w:val="0"/>
        <w:spacing w:line="580" w:lineRule="exact"/>
        <w:ind w:firstLine="640" w:firstLineChars="200"/>
        <w:rPr>
          <w:rFonts w:ascii="仿宋" w:hAnsi="仿宋" w:eastAsia="仿宋" w:cs="宋体"/>
          <w:sz w:val="32"/>
          <w:szCs w:val="32"/>
        </w:rPr>
      </w:pPr>
      <w:r>
        <w:rPr>
          <w:rFonts w:hint="eastAsia" w:ascii="仿宋" w:hAnsi="仿宋" w:eastAsia="仿宋" w:cs="宋体"/>
          <w:sz w:val="32"/>
          <w:szCs w:val="32"/>
        </w:rPr>
        <w:t>（三）对部门决算管理工作的意见和建议：无</w:t>
      </w:r>
    </w:p>
    <w:p>
      <w:pPr>
        <w:snapToGrid w:val="0"/>
        <w:ind w:firstLine="640" w:firstLineChars="200"/>
        <w:rPr>
          <w:rFonts w:ascii="仿宋" w:hAnsi="仿宋" w:eastAsia="仿宋" w:cs="宋体"/>
          <w:sz w:val="32"/>
          <w:szCs w:val="32"/>
        </w:rPr>
      </w:pPr>
      <w:bookmarkStart w:id="4" w:name="YS060202"/>
    </w:p>
    <w:p>
      <w:pPr>
        <w:snapToGrid w:val="0"/>
        <w:ind w:firstLine="640" w:firstLineChars="200"/>
        <w:rPr>
          <w:rFonts w:ascii="仿宋" w:hAnsi="仿宋" w:eastAsia="仿宋" w:cs="宋体"/>
          <w:sz w:val="32"/>
          <w:szCs w:val="32"/>
        </w:rPr>
      </w:pPr>
      <w:r>
        <w:rPr>
          <w:rFonts w:hint="eastAsia" w:ascii="仿宋" w:hAnsi="仿宋" w:eastAsia="仿宋" w:cs="宋体"/>
          <w:sz w:val="32"/>
          <w:szCs w:val="32"/>
        </w:rPr>
        <w:t>事业单位财务分析指标</w:t>
      </w:r>
    </w:p>
    <w:bookmarkEnd w:id="4"/>
    <w:p>
      <w:pPr>
        <w:snapToGrid w:val="0"/>
        <w:ind w:firstLine="640" w:firstLineChars="200"/>
        <w:rPr>
          <w:rFonts w:ascii="仿宋" w:hAnsi="仿宋" w:eastAsia="仿宋" w:cs="宋体"/>
          <w:sz w:val="32"/>
          <w:szCs w:val="32"/>
        </w:rPr>
      </w:pPr>
      <w:r>
        <w:rPr>
          <w:rFonts w:hint="eastAsia" w:ascii="仿宋" w:hAnsi="仿宋" w:eastAsia="仿宋" w:cs="宋体"/>
          <w:sz w:val="32"/>
          <w:szCs w:val="32"/>
        </w:rPr>
        <w:t>1.预算收入和支出完成率，衡量事业单位收入和支出总预算及分项预算完成的程度。计算公式为：</w:t>
      </w:r>
    </w:p>
    <w:p>
      <w:pPr>
        <w:snapToGrid w:val="0"/>
        <w:ind w:firstLine="640" w:firstLineChars="200"/>
        <w:rPr>
          <w:rFonts w:ascii="仿宋" w:hAnsi="仿宋" w:eastAsia="仿宋" w:cs="宋体"/>
          <w:sz w:val="32"/>
          <w:szCs w:val="32"/>
        </w:rPr>
      </w:pPr>
      <w:r>
        <w:rPr>
          <w:rFonts w:hint="eastAsia" w:ascii="仿宋" w:hAnsi="仿宋" w:eastAsia="仿宋" w:cs="宋体"/>
          <w:sz w:val="32"/>
          <w:szCs w:val="32"/>
        </w:rPr>
        <w:t>预算收入完成率＝年终执行数÷调整预算数×100%</w:t>
      </w:r>
    </w:p>
    <w:p>
      <w:pPr>
        <w:snapToGrid w:val="0"/>
        <w:ind w:firstLine="640" w:firstLineChars="200"/>
        <w:rPr>
          <w:rFonts w:ascii="仿宋" w:hAnsi="仿宋" w:eastAsia="仿宋" w:cs="宋体"/>
          <w:sz w:val="32"/>
          <w:szCs w:val="32"/>
        </w:rPr>
      </w:pPr>
      <w:r>
        <w:rPr>
          <w:rFonts w:hint="eastAsia" w:ascii="仿宋" w:hAnsi="仿宋" w:eastAsia="仿宋" w:cs="宋体"/>
          <w:sz w:val="32"/>
          <w:szCs w:val="32"/>
        </w:rPr>
        <w:t>年终执行数不含上年结转和结余收入数</w:t>
      </w:r>
    </w:p>
    <w:p>
      <w:pPr>
        <w:snapToGrid w:val="0"/>
        <w:ind w:firstLine="640" w:firstLineChars="200"/>
        <w:rPr>
          <w:rFonts w:ascii="仿宋" w:hAnsi="仿宋" w:eastAsia="仿宋" w:cs="宋体"/>
          <w:sz w:val="32"/>
          <w:szCs w:val="32"/>
        </w:rPr>
      </w:pPr>
      <w:r>
        <w:rPr>
          <w:rFonts w:hint="eastAsia" w:ascii="仿宋" w:hAnsi="仿宋" w:eastAsia="仿宋" w:cs="宋体"/>
          <w:sz w:val="32"/>
          <w:szCs w:val="32"/>
        </w:rPr>
        <w:t>预算支出完成率＝年终执行数÷调整预算数×100%</w:t>
      </w:r>
    </w:p>
    <w:p>
      <w:pPr>
        <w:snapToGrid w:val="0"/>
        <w:ind w:firstLine="640" w:firstLineChars="200"/>
        <w:rPr>
          <w:rFonts w:ascii="仿宋" w:hAnsi="仿宋" w:eastAsia="仿宋" w:cs="宋体"/>
          <w:sz w:val="32"/>
          <w:szCs w:val="32"/>
        </w:rPr>
      </w:pPr>
      <w:r>
        <w:rPr>
          <w:rFonts w:hint="eastAsia" w:ascii="仿宋" w:hAnsi="仿宋" w:eastAsia="仿宋" w:cs="宋体"/>
          <w:sz w:val="32"/>
          <w:szCs w:val="32"/>
        </w:rPr>
        <w:t>年终执行数不含上年结转和结余支出数</w:t>
      </w:r>
    </w:p>
    <w:p>
      <w:pPr>
        <w:snapToGrid w:val="0"/>
        <w:ind w:firstLine="640" w:firstLineChars="200"/>
        <w:rPr>
          <w:rFonts w:ascii="仿宋" w:hAnsi="仿宋" w:eastAsia="仿宋" w:cs="宋体"/>
          <w:sz w:val="32"/>
          <w:szCs w:val="32"/>
        </w:rPr>
      </w:pPr>
      <w:r>
        <w:rPr>
          <w:rFonts w:hint="eastAsia" w:ascii="仿宋" w:hAnsi="仿宋" w:eastAsia="仿宋" w:cs="宋体"/>
          <w:sz w:val="32"/>
          <w:szCs w:val="32"/>
        </w:rPr>
        <w:t>2.人员支出、公用支出占事业支出的比率，衡量事业单位事业支出结构。计算公式为：</w:t>
      </w:r>
    </w:p>
    <w:p>
      <w:pPr>
        <w:snapToGrid w:val="0"/>
        <w:ind w:firstLine="640" w:firstLineChars="200"/>
        <w:rPr>
          <w:rFonts w:ascii="仿宋" w:hAnsi="仿宋" w:eastAsia="仿宋" w:cs="宋体"/>
          <w:sz w:val="32"/>
          <w:szCs w:val="32"/>
        </w:rPr>
      </w:pPr>
      <w:r>
        <w:rPr>
          <w:rFonts w:hint="eastAsia" w:ascii="仿宋" w:hAnsi="仿宋" w:eastAsia="仿宋" w:cs="宋体"/>
          <w:sz w:val="32"/>
          <w:szCs w:val="32"/>
        </w:rPr>
        <w:t>人员支出比率＝人员支出÷事业支出×100%</w:t>
      </w:r>
    </w:p>
    <w:p>
      <w:pPr>
        <w:snapToGrid w:val="0"/>
        <w:ind w:firstLine="640" w:firstLineChars="200"/>
        <w:rPr>
          <w:rFonts w:ascii="仿宋" w:hAnsi="仿宋" w:eastAsia="仿宋" w:cs="宋体"/>
          <w:sz w:val="32"/>
          <w:szCs w:val="32"/>
        </w:rPr>
      </w:pPr>
      <w:r>
        <w:rPr>
          <w:rFonts w:hint="eastAsia" w:ascii="仿宋" w:hAnsi="仿宋" w:eastAsia="仿宋" w:cs="宋体"/>
          <w:sz w:val="32"/>
          <w:szCs w:val="32"/>
        </w:rPr>
        <w:t>公用支出比率＝公用支出÷事业支出×100%</w:t>
      </w:r>
    </w:p>
    <w:p>
      <w:pPr>
        <w:snapToGrid w:val="0"/>
        <w:ind w:firstLine="640" w:firstLineChars="200"/>
        <w:rPr>
          <w:rFonts w:ascii="仿宋" w:hAnsi="仿宋" w:eastAsia="仿宋" w:cs="宋体"/>
          <w:sz w:val="32"/>
          <w:szCs w:val="32"/>
        </w:rPr>
      </w:pPr>
      <w:r>
        <w:rPr>
          <w:rFonts w:hint="eastAsia" w:ascii="仿宋" w:hAnsi="仿宋" w:eastAsia="仿宋" w:cs="宋体"/>
          <w:sz w:val="32"/>
          <w:szCs w:val="32"/>
        </w:rPr>
        <w:t>3.人均基本支出，衡量事业单位按照实际在编人数平均的基本支出水平。计算公式为：</w:t>
      </w:r>
    </w:p>
    <w:p>
      <w:pPr>
        <w:snapToGrid w:val="0"/>
        <w:ind w:firstLine="640" w:firstLineChars="200"/>
        <w:rPr>
          <w:rFonts w:ascii="仿宋" w:hAnsi="仿宋" w:eastAsia="仿宋" w:cs="宋体"/>
          <w:b/>
          <w:sz w:val="32"/>
          <w:szCs w:val="32"/>
        </w:rPr>
      </w:pPr>
      <w:r>
        <w:rPr>
          <w:rFonts w:hint="eastAsia" w:ascii="仿宋" w:hAnsi="仿宋" w:eastAsia="仿宋" w:cs="宋体"/>
          <w:sz w:val="32"/>
          <w:szCs w:val="32"/>
        </w:rPr>
        <w:t>人均基本支出＝（基本支出-离退休人员支出）÷实际在编人数</w:t>
      </w:r>
    </w:p>
    <w:p>
      <w:pPr>
        <w:snapToGrid w:val="0"/>
        <w:ind w:firstLine="640" w:firstLineChars="200"/>
        <w:rPr>
          <w:rFonts w:ascii="仿宋" w:hAnsi="仿宋" w:eastAsia="仿宋" w:cs="宋体"/>
          <w:sz w:val="32"/>
          <w:szCs w:val="32"/>
        </w:rPr>
      </w:pPr>
    </w:p>
    <w:p>
      <w:pPr>
        <w:snapToGrid w:val="0"/>
        <w:ind w:firstLine="640" w:firstLineChars="200"/>
        <w:rPr>
          <w:rFonts w:ascii="仿宋" w:hAnsi="仿宋" w:eastAsia="仿宋" w:cs="宋体"/>
          <w:sz w:val="32"/>
          <w:szCs w:val="32"/>
        </w:rPr>
      </w:pPr>
      <w:r>
        <w:rPr>
          <w:rFonts w:hint="eastAsia" w:ascii="仿宋" w:hAnsi="仿宋" w:eastAsia="仿宋" w:cs="宋体"/>
          <w:sz w:val="32"/>
          <w:szCs w:val="32"/>
        </w:rPr>
        <w:t>此外，行业事业单位还可根据相关财务制度规定和分析需要增加相关分析指标，如：</w:t>
      </w:r>
    </w:p>
    <w:p>
      <w:pPr>
        <w:ind w:firstLine="707" w:firstLineChars="221"/>
        <w:rPr>
          <w:rFonts w:ascii="仿宋" w:hAnsi="仿宋" w:eastAsia="仿宋" w:cs="宋体"/>
          <w:sz w:val="32"/>
          <w:szCs w:val="32"/>
        </w:rPr>
      </w:pPr>
      <w:r>
        <w:rPr>
          <w:rFonts w:hint="eastAsia" w:ascii="仿宋" w:hAnsi="仿宋" w:eastAsia="仿宋" w:cs="宋体"/>
          <w:sz w:val="32"/>
          <w:szCs w:val="32"/>
        </w:rPr>
        <w:t>1.财政拨款依存度, 衡量部门（单位）对财政拨款的依赖程度。</w:t>
      </w:r>
    </w:p>
    <w:p>
      <w:pPr>
        <w:widowControl/>
        <w:ind w:firstLine="640" w:firstLineChars="200"/>
        <w:textAlignment w:val="center"/>
        <w:rPr>
          <w:rFonts w:ascii="仿宋" w:hAnsi="仿宋" w:eastAsia="仿宋" w:cs="宋体"/>
          <w:sz w:val="32"/>
          <w:szCs w:val="32"/>
        </w:rPr>
      </w:pPr>
      <w:r>
        <w:rPr>
          <w:rFonts w:hint="eastAsia" w:ascii="仿宋" w:hAnsi="仿宋" w:eastAsia="仿宋" w:cs="宋体"/>
          <w:sz w:val="32"/>
          <w:szCs w:val="32"/>
        </w:rPr>
        <w:t>财政拨款依存度＝财政拨款收入÷收入总额×100%</w:t>
      </w:r>
    </w:p>
    <w:p>
      <w:pPr>
        <w:snapToGrid w:val="0"/>
        <w:spacing w:line="520" w:lineRule="exact"/>
        <w:ind w:firstLine="640" w:firstLineChars="200"/>
        <w:rPr>
          <w:rFonts w:ascii="仿宋" w:hAnsi="仿宋" w:eastAsia="仿宋" w:cs="宋体"/>
          <w:sz w:val="32"/>
          <w:szCs w:val="32"/>
        </w:rPr>
      </w:pPr>
    </w:p>
    <w:p>
      <w:pPr>
        <w:snapToGrid w:val="0"/>
        <w:spacing w:line="520" w:lineRule="exact"/>
        <w:ind w:firstLine="640" w:firstLineChars="200"/>
        <w:rPr>
          <w:rFonts w:ascii="仿宋" w:hAnsi="仿宋" w:eastAsia="仿宋" w:cs="宋体"/>
          <w:sz w:val="32"/>
          <w:szCs w:val="32"/>
        </w:rPr>
      </w:pPr>
    </w:p>
    <w:bookmarkEnd w:id="1"/>
    <w:p>
      <w:pPr>
        <w:rPr>
          <w:rFonts w:ascii="仿宋" w:hAnsi="仿宋" w:eastAsia="仿宋" w:cs="宋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2A9"/>
    <w:rsid w:val="00044729"/>
    <w:rsid w:val="0008642D"/>
    <w:rsid w:val="000919DD"/>
    <w:rsid w:val="000D20C7"/>
    <w:rsid w:val="000E3DD8"/>
    <w:rsid w:val="000E4EBA"/>
    <w:rsid w:val="000F2967"/>
    <w:rsid w:val="001407F0"/>
    <w:rsid w:val="001E76F7"/>
    <w:rsid w:val="002278AC"/>
    <w:rsid w:val="0028047D"/>
    <w:rsid w:val="00290DAA"/>
    <w:rsid w:val="00305A7F"/>
    <w:rsid w:val="003377CB"/>
    <w:rsid w:val="003701BE"/>
    <w:rsid w:val="00380F02"/>
    <w:rsid w:val="00383B17"/>
    <w:rsid w:val="003C2F3D"/>
    <w:rsid w:val="004163E3"/>
    <w:rsid w:val="00453120"/>
    <w:rsid w:val="00460D4C"/>
    <w:rsid w:val="004C72A9"/>
    <w:rsid w:val="004E77B9"/>
    <w:rsid w:val="004F0A7A"/>
    <w:rsid w:val="005673A6"/>
    <w:rsid w:val="005E013E"/>
    <w:rsid w:val="006B36F9"/>
    <w:rsid w:val="006D3110"/>
    <w:rsid w:val="007319A3"/>
    <w:rsid w:val="007415BB"/>
    <w:rsid w:val="00754DB7"/>
    <w:rsid w:val="00757633"/>
    <w:rsid w:val="007B2C17"/>
    <w:rsid w:val="007E16D5"/>
    <w:rsid w:val="00812DC5"/>
    <w:rsid w:val="00860552"/>
    <w:rsid w:val="008848D8"/>
    <w:rsid w:val="008D102D"/>
    <w:rsid w:val="009423A8"/>
    <w:rsid w:val="00944B69"/>
    <w:rsid w:val="00950FFC"/>
    <w:rsid w:val="00986377"/>
    <w:rsid w:val="009B31E6"/>
    <w:rsid w:val="009B3997"/>
    <w:rsid w:val="009E5260"/>
    <w:rsid w:val="00A30BCC"/>
    <w:rsid w:val="00A47D98"/>
    <w:rsid w:val="00A55593"/>
    <w:rsid w:val="00A96CE9"/>
    <w:rsid w:val="00AC52C6"/>
    <w:rsid w:val="00B434D0"/>
    <w:rsid w:val="00B931A6"/>
    <w:rsid w:val="00BD0E7C"/>
    <w:rsid w:val="00BD5536"/>
    <w:rsid w:val="00C330D6"/>
    <w:rsid w:val="00C403B7"/>
    <w:rsid w:val="00CA1175"/>
    <w:rsid w:val="00CA62D7"/>
    <w:rsid w:val="00D268B4"/>
    <w:rsid w:val="00D60B41"/>
    <w:rsid w:val="00DC4EE7"/>
    <w:rsid w:val="00DE42CE"/>
    <w:rsid w:val="00E25018"/>
    <w:rsid w:val="00E26615"/>
    <w:rsid w:val="00E75210"/>
    <w:rsid w:val="00E873EA"/>
    <w:rsid w:val="00EB3FDB"/>
    <w:rsid w:val="00F24F67"/>
    <w:rsid w:val="00F65290"/>
    <w:rsid w:val="00FC2F74"/>
    <w:rsid w:val="00FF00C8"/>
    <w:rsid w:val="077C1E25"/>
    <w:rsid w:val="13B767C1"/>
    <w:rsid w:val="2CAA468A"/>
    <w:rsid w:val="399C0818"/>
    <w:rsid w:val="6C7D29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customStyle="1" w:styleId="7">
    <w:name w:val="页眉 Char"/>
    <w:basedOn w:val="6"/>
    <w:link w:val="3"/>
    <w:semiHidden/>
    <w:qFormat/>
    <w:uiPriority w:val="99"/>
    <w:rPr>
      <w:rFonts w:ascii="Times New Roman" w:hAnsi="Times New Roman" w:eastAsia="宋体" w:cs="Times New Roman"/>
      <w:sz w:val="18"/>
      <w:szCs w:val="18"/>
    </w:rPr>
  </w:style>
  <w:style w:type="character" w:customStyle="1" w:styleId="8">
    <w:name w:val="页脚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5685</Words>
  <Characters>6049</Characters>
  <Lines>45</Lines>
  <Paragraphs>12</Paragraphs>
  <TotalTime>63</TotalTime>
  <ScaleCrop>false</ScaleCrop>
  <LinksUpToDate>false</LinksUpToDate>
  <CharactersWithSpaces>6089</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2023-02-22T15:24:00Z</dcterms:created>
  <dc:creator>Microsoft</dc:creator>
  <cp:lastModifiedBy>YMDL</cp:lastModifiedBy>
  <dcterms:modified xsi:type="dcterms:W3CDTF">2025-09-08T11:25:27Z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86987EF1B97B457F93AF6BCAE12D2CA4_13</vt:lpwstr>
  </property>
</Properties>
</file>