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20" w:line="432" w:lineRule="atLeast"/>
        <w:ind w:firstLine="640"/>
        <w:jc w:val="left"/>
        <w:rPr>
          <w:rFonts w:ascii="仿宋" w:hAnsi="仿宋" w:eastAsia="仿宋" w:cs="仿宋"/>
          <w:kern w:val="0"/>
          <w:sz w:val="32"/>
          <w:szCs w:val="32"/>
          <w:shd w:val="clear" w:color="auto" w:fill="FFFFFF"/>
          <w:lang w:bidi="ar"/>
        </w:rPr>
      </w:pPr>
    </w:p>
    <w:p>
      <w:pPr>
        <w:widowControl/>
        <w:shd w:val="clear" w:color="auto" w:fill="FFFFFF"/>
        <w:spacing w:before="120" w:line="432" w:lineRule="atLeast"/>
        <w:jc w:val="center"/>
        <w:rPr>
          <w:rFonts w:ascii="仿宋" w:hAnsi="仿宋" w:eastAsia="仿宋" w:cs="仿宋"/>
          <w:b/>
          <w:bCs/>
          <w:kern w:val="0"/>
          <w:sz w:val="32"/>
          <w:szCs w:val="32"/>
          <w:shd w:val="clear" w:color="auto" w:fill="FFFFFF"/>
          <w:lang w:bidi="ar"/>
        </w:rPr>
      </w:pPr>
      <w:r>
        <w:rPr>
          <w:rFonts w:hint="eastAsia" w:ascii="仿宋" w:hAnsi="仿宋" w:eastAsia="仿宋" w:cs="仿宋"/>
          <w:b/>
          <w:bCs/>
          <w:kern w:val="0"/>
          <w:sz w:val="32"/>
          <w:szCs w:val="32"/>
          <w:shd w:val="clear" w:color="auto" w:fill="FFFFFF"/>
          <w:lang w:bidi="ar"/>
        </w:rPr>
        <w:t>2020年度部门整体支出绩效评价报告</w:t>
      </w:r>
    </w:p>
    <w:p>
      <w:pPr>
        <w:widowControl/>
        <w:shd w:val="clear" w:color="auto" w:fill="FFFFFF"/>
        <w:spacing w:before="120" w:line="432" w:lineRule="atLeast"/>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一、部门基本情况</w:t>
      </w:r>
    </w:p>
    <w:p>
      <w:pPr>
        <w:widowControl/>
        <w:shd w:val="clear" w:color="auto" w:fill="FFFFFF"/>
        <w:spacing w:before="120" w:line="432" w:lineRule="atLeast"/>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2020年本单位由市委组织部机关、市委老干部局和市公务员局组成。</w:t>
      </w:r>
    </w:p>
    <w:p>
      <w:pPr>
        <w:widowControl/>
        <w:shd w:val="clear" w:color="auto" w:fill="FFFFFF"/>
        <w:spacing w:before="120" w:line="432" w:lineRule="atLeast"/>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2020年本单位年未实有人数36人。</w:t>
      </w:r>
    </w:p>
    <w:p>
      <w:pPr>
        <w:widowControl/>
        <w:shd w:val="clear" w:color="auto" w:fill="FFFFFF"/>
        <w:spacing w:before="120" w:line="432" w:lineRule="atLeast"/>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主要工作职责：</w:t>
      </w:r>
    </w:p>
    <w:p>
      <w:pPr>
        <w:widowControl/>
        <w:shd w:val="clear" w:color="auto" w:fill="FFFFFF"/>
        <w:spacing w:before="120" w:line="432" w:lineRule="atLeast"/>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一）严格执行党的干部路线、方针、政策，负责全市干部队伍建设的宏观管理，制订或参与制订组织、干部、人事工作的重要政策、规定、制度；负责全市党的建设制度改革工作的规划研究、部署和组织实施；会同有关部门研究制订适应现代企业制度要求的国有企业领导班子和企业经营管理者队伍建设的政策和法规，提出加强宏观指导的意见和建议。（二）负责干部队伍建设的规划和指导工作。（三）执行公务员管理政策和法律法规。（四）负责干部监督工作的宏观指导，负责对党政领导干部选拔任用工作进行监督检查；对反映领导班子和领导干部的重要问题进行调查了解和督办；负责其他历史遗留问题的审理工作；协助做好市委巡察工作；按照上级组织部门要求落实领导干部个人有关事项报告、领导干部任期经济责任审计等工作；负责指导镇场街道和市直各单位组织人事部门开展提醒、函询和诫勉谈话工作。（五）负责全市干部教育培训的宏观管理，制订干部教育工作规划，组织、协调全市副科级以上干部和部分中青年干部的培训。（六）负责全市干部信息、人事档案、党内统计、干部统计工作的宏观指导；负责全市组织系统信息网络建设。（七）负责全市人才工作和人才队伍建设的宏观管理和指导；研究拟订人才工作有关政策并组织实施；协调落实专项重点人才工作；协调实施高层次人才培养工程；按政策落实重点人才的相关待遇。（八）负责研究和指导党组织建设工作。（九）研究指导党员队伍建设工作。（十）负责全市非公经济组织和社会组织党的建设工作。（十一）承担市委党建工作领导小组日常工作，综合协调有关部门统筹推进基层党建工作，健全和落实基层党建工作责任制，负责基层党建述职评议；协调有关部门指导发展壮大村级（社区）集体经济。（十二）负责市直机关党的建设工作。（十三）统筹协调全市绩效评估管理工作。（十四）负责组织工作的综合协调、督促检查和调查研究。（十五）负责管理全市机构编制。（十六）贯彻执行上级组织关于离退休干部工作的方针、政策、法规和决策部署；负责全市离退休干部工作的宏观管理和指导，开展调查研究。（十七）完成市委和益阳市委组织部交办的其他工作。</w:t>
      </w:r>
    </w:p>
    <w:p>
      <w:pPr>
        <w:widowControl/>
        <w:shd w:val="clear" w:color="auto" w:fill="FFFFFF"/>
        <w:spacing w:before="120" w:line="432" w:lineRule="atLeast"/>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二、部门整体支出管理及使用情况</w:t>
      </w:r>
    </w:p>
    <w:p>
      <w:pPr>
        <w:widowControl/>
        <w:shd w:val="clear" w:color="auto" w:fill="FFFFFF"/>
        <w:spacing w:before="120" w:line="432" w:lineRule="atLeast"/>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（一）基本支出的管理和使用情况</w:t>
      </w:r>
    </w:p>
    <w:p>
      <w:pPr>
        <w:widowControl/>
        <w:shd w:val="clear" w:color="auto" w:fill="FFFFFF"/>
        <w:spacing w:before="120" w:line="432" w:lineRule="atLeast"/>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我部基本支出主要用于维持部机关基本运转，履行部门主要职责而发生的各项支出，经费主要开支包括基本工资、津贴补贴、奖金、伙食补助费、三险二金、办公费、电费、差旅费、工会经费、其他交通费用、对个人和家庭的补助等。基本支出的主要用途及资金的管理情况：2020年度基本支出343.53万元。其中:人员经费支出301.53万元，主要用于基本工资、津贴补贴、绩效奖金、社会保障缴费、奖励金、住房公积金等支出；公用经费支出42万元，主要用于办公费、印刷费、水电费、差旅费、会议费、培训费、公务接待费、工会经费等支出。</w:t>
      </w:r>
    </w:p>
    <w:p>
      <w:pPr>
        <w:widowControl/>
        <w:shd w:val="clear" w:color="auto" w:fill="FFFFFF"/>
        <w:spacing w:before="120" w:line="432" w:lineRule="atLeast"/>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为了确保预算资金的规范使用，我部将财务管理规范纳入了部机关管理制度，严格把关审核，每一笔支出严格按照上级有关文件精神，不超标、不随意使用，规范了审批签字流程：经手人、证明人、分管领导、财务分管领导、纪检组联审章，层层递进严格审核。无计划安排不报账，不符合规定的发票、票据不报账，坚持勤俭节约，保证资金规范使用与安全。</w:t>
      </w:r>
    </w:p>
    <w:p>
      <w:pPr>
        <w:widowControl/>
        <w:shd w:val="clear" w:color="auto" w:fill="FFFFFF"/>
        <w:spacing w:before="120" w:line="432" w:lineRule="atLeast"/>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我部2020年初总预算收支情况：2020年度部门预算数为713.53万元，其中公共财政拨款713.53万元，政府性基金拨款0元。 其中，基本支出343.53万元，项目支出：370万元。基本支出中人员经费支出301.53万元，公用经费支出42万元。收支基本平衡。</w:t>
      </w:r>
    </w:p>
    <w:p>
      <w:pPr>
        <w:widowControl/>
        <w:shd w:val="clear" w:color="auto" w:fill="FFFFFF"/>
        <w:spacing w:before="120" w:line="432" w:lineRule="atLeast"/>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2020年终决算拨款收入为911.15万元，其中一般公共预算财政拨款收入905.75万元，其他收入5.4万元。2020年年终决算支出925.86万元，其中基本支出478.39万元，项目支出447.47万元，基本支出中人员经费409.95万元，日常公用经费支出68.44万元，年末结余结转103.81万元。</w:t>
      </w:r>
    </w:p>
    <w:p>
      <w:pPr>
        <w:widowControl/>
        <w:shd w:val="clear" w:color="auto" w:fill="FFFFFF"/>
        <w:spacing w:before="120" w:line="432" w:lineRule="atLeast"/>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2020年我部“三公”经费预算安排支出7万元，其中，公务接待费7.00万元，公务用车运行费0元，因公出国（境）费用0万元，实际“三公”经费支出6.28万元，其中：公务接待费6.28万元，公务用车运行费0万元，因公出国（境）费用0元。以上三项指标均未超出预算安排。</w:t>
      </w:r>
    </w:p>
    <w:p>
      <w:pPr>
        <w:widowControl/>
        <w:shd w:val="clear" w:color="auto" w:fill="FFFFFF"/>
        <w:spacing w:before="120" w:line="432" w:lineRule="atLeast"/>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我部2019年“三公”经费支出1.5万元，其中：公务接待费1.5万元，公务用车运行费0万元，因公出国（境）费用0元。2020年与上年相比，“三公经费”上升366%，主要原因：机构改革后，老干局单位并入组织部，接待费用增加。</w:t>
      </w:r>
    </w:p>
    <w:p>
      <w:pPr>
        <w:widowControl/>
        <w:shd w:val="clear" w:color="auto" w:fill="FFFFFF"/>
        <w:spacing w:before="120" w:line="432" w:lineRule="atLeast"/>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（二）专项支出的管理和使用情况</w:t>
      </w:r>
    </w:p>
    <w:p>
      <w:pPr>
        <w:widowControl/>
        <w:shd w:val="clear" w:color="auto" w:fill="FFFFFF"/>
        <w:spacing w:before="120" w:line="432" w:lineRule="atLeast"/>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2020年我部年初预算项目资金366.7万元，主要用于党建工作、公务员工作专项经费、绩效考核办工作经费、党代表调研经费、组工干部培训工作经费、两新工委及指导员津贴、老干特需经费等。年初预算安排仅限于沅江市级预算资金。2019年结转项目资金272.4万元。</w:t>
      </w:r>
    </w:p>
    <w:p>
      <w:pPr>
        <w:widowControl/>
        <w:shd w:val="clear" w:color="auto" w:fill="FFFFFF"/>
        <w:spacing w:before="120" w:line="432" w:lineRule="atLeast"/>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三、主要绩效</w:t>
      </w:r>
    </w:p>
    <w:p>
      <w:pPr>
        <w:widowControl/>
        <w:shd w:val="clear" w:color="auto" w:fill="FFFFFF"/>
        <w:spacing w:before="120" w:line="432" w:lineRule="atLeast"/>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根据市财政局要求，我部以绩效评估为契机，认真对照评估指标，按照年度工作计划扎实推进2020年度预算绩效自评工作。总的来说，2020年我部全体干部职工积极履职、扎实工作，较好完成了全年工作目标。</w:t>
      </w:r>
    </w:p>
    <w:p>
      <w:pPr>
        <w:widowControl/>
        <w:shd w:val="clear" w:color="auto" w:fill="FFFFFF"/>
        <w:spacing w:before="120" w:line="432" w:lineRule="atLeast"/>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一）严格落实项财务管理与审计制度，扎实开展机关财务内审工作。邀请市委巡察办指导，办公室全力配合，以本次财务审计为契机，及时查漏补缺、革除弊病、提升水平，严格执行部机关既定的各项财务管理制度及财务报销流程，有效杜绝各项违规操作事项，促进财务管理进一步走向制度化、规范化。</w:t>
      </w:r>
    </w:p>
    <w:p>
      <w:pPr>
        <w:widowControl/>
        <w:shd w:val="clear" w:color="auto" w:fill="FFFFFF"/>
        <w:spacing w:before="120" w:line="432" w:lineRule="atLeast"/>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（二）坚决打好打赢疫情防控阻击战</w:t>
      </w:r>
      <w:bookmarkStart w:id="0" w:name="_GoBack"/>
      <w:bookmarkEnd w:id="0"/>
      <w:r>
        <w:rPr>
          <w:rFonts w:hint="eastAsia" w:ascii="仿宋" w:hAnsi="仿宋" w:eastAsia="仿宋" w:cs="仿宋"/>
          <w:kern w:val="0"/>
          <w:sz w:val="32"/>
          <w:szCs w:val="32"/>
          <w:shd w:val="clear" w:color="auto" w:fill="FFFFFF"/>
          <w:lang w:bidi="ar"/>
        </w:rPr>
        <w:t>。面对疫情，统一思想，凝聚“抗疫”合力，积极发动机关干部在做好自身防疫的同时积极投身疫情防控一线，带头落实疫情防控措施、带头服务基层群众、带头严守纪律要求。持续深入开展扫黑除恶专项斗争。对标对表益阳市委组织部《2020年扫黑除恶专项斗争工作要点》和《2020年沅江市扫黑除恶专项斗争工作要点》，紧扣扫黑除恶三年为期总目标，加强对纵深推进专项斗争的谋划部署。</w:t>
      </w:r>
    </w:p>
    <w:p>
      <w:pPr>
        <w:widowControl/>
        <w:shd w:val="clear" w:color="auto" w:fill="FFFFFF"/>
        <w:spacing w:before="120" w:line="432" w:lineRule="atLeast"/>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（三）组织全市各市直单位、镇场街道召开全市组织工作会议，学习贯彻上级精神，突出我市组织工作亮点，扎实推进组织工作的开展。</w:t>
      </w:r>
    </w:p>
    <w:p>
      <w:pPr>
        <w:widowControl/>
        <w:shd w:val="clear" w:color="auto" w:fill="FFFFFF"/>
        <w:spacing w:before="120" w:line="432" w:lineRule="atLeast"/>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四、存在的主要问题和建议</w:t>
      </w:r>
    </w:p>
    <w:p>
      <w:pPr>
        <w:widowControl/>
        <w:shd w:val="clear" w:color="auto" w:fill="FFFFFF"/>
        <w:spacing w:before="120" w:line="432" w:lineRule="atLeast"/>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一是绩效目标设立不够明确、细化和量化。二是预算财务分析常态化，定期做好预算支出财务分析，做好部门整体支出预算评价工作。建议：按照预算规定的项目和用途严格财务审核，经费支出严格按预算规定项目的财务支出内容进行财务核算，在预算金额内严格控制费用的支出。</w:t>
      </w:r>
    </w:p>
    <w:p>
      <w:pPr>
        <w:widowControl/>
        <w:shd w:val="clear" w:color="auto" w:fill="FFFFFF"/>
        <w:spacing w:before="120" w:line="432" w:lineRule="atLeast"/>
        <w:jc w:val="left"/>
        <w:rPr>
          <w:rFonts w:ascii="仿宋" w:hAnsi="仿宋" w:eastAsia="仿宋" w:cs="仿宋"/>
          <w:kern w:val="0"/>
          <w:sz w:val="32"/>
          <w:szCs w:val="32"/>
          <w:shd w:val="clear" w:color="auto" w:fill="FFFFFF"/>
          <w:lang w:bidi="ar"/>
        </w:rPr>
      </w:pPr>
    </w:p>
    <w:p>
      <w:pPr>
        <w:widowControl/>
        <w:shd w:val="clear" w:color="auto" w:fill="FFFFFF"/>
        <w:spacing w:before="120" w:line="432" w:lineRule="atLeast"/>
        <w:jc w:val="left"/>
        <w:rPr>
          <w:rFonts w:ascii="仿宋" w:hAnsi="仿宋" w:eastAsia="仿宋" w:cs="仿宋"/>
          <w:kern w:val="0"/>
          <w:sz w:val="32"/>
          <w:szCs w:val="32"/>
          <w:shd w:val="clear" w:color="auto" w:fill="FFFFFF"/>
          <w:lang w:bidi="ar"/>
        </w:rPr>
      </w:pPr>
    </w:p>
    <w:p>
      <w:pPr>
        <w:widowControl/>
        <w:shd w:val="clear" w:color="auto" w:fill="FFFFFF"/>
        <w:spacing w:before="120" w:line="432" w:lineRule="atLeast"/>
        <w:jc w:val="left"/>
        <w:rPr>
          <w:rFonts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 xml:space="preserve">                               中共沅江市委组织部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Dg3M2ViZGRlODQ2MTk2MTU0ZjEzNzZkZGY5MmUifQ=="/>
  </w:docVars>
  <w:rsids>
    <w:rsidRoot w:val="00132E6C"/>
    <w:rsid w:val="00132E6C"/>
    <w:rsid w:val="00327A07"/>
    <w:rsid w:val="00425418"/>
    <w:rsid w:val="00DF239E"/>
    <w:rsid w:val="06E547A0"/>
    <w:rsid w:val="0D002E1D"/>
    <w:rsid w:val="15BB37EC"/>
    <w:rsid w:val="171A79D4"/>
    <w:rsid w:val="44BA5501"/>
    <w:rsid w:val="477D3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2538</Words>
  <Characters>2689</Characters>
  <Lines>19</Lines>
  <Paragraphs>5</Paragraphs>
  <TotalTime>2</TotalTime>
  <ScaleCrop>false</ScaleCrop>
  <LinksUpToDate>false</LinksUpToDate>
  <CharactersWithSpaces>2721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2022-09-01T08:17:00Z</dcterms:created>
  <dc:creator>tangh</dc:creator>
  <cp:lastModifiedBy>tmy</cp:lastModifiedBy>
  <dcterms:modified xsi:type="dcterms:W3CDTF">2023-10-09T06:47:37Z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A704EE5D527446768E479C5108813673_12</vt:lpwstr>
  </property>
</Properties>
</file>