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黑体" w:eastAsia="黑体"/>
          <w:sz w:val="44"/>
          <w:szCs w:val="44"/>
        </w:rPr>
      </w:pPr>
      <w:bookmarkStart w:id="0" w:name="YS060100"/>
    </w:p>
    <w:p>
      <w:pPr>
        <w:snapToGrid w:val="0"/>
        <w:jc w:val="center"/>
        <w:rPr>
          <w:rFonts w:ascii="黑体" w:eastAsia="黑体"/>
          <w:sz w:val="44"/>
          <w:szCs w:val="44"/>
        </w:rPr>
      </w:pPr>
    </w:p>
    <w:p>
      <w:pPr>
        <w:snapToGrid w:val="0"/>
        <w:jc w:val="center"/>
        <w:rPr>
          <w:rFonts w:ascii="黑体" w:eastAsia="黑体"/>
          <w:sz w:val="44"/>
          <w:szCs w:val="44"/>
        </w:rPr>
      </w:pPr>
    </w:p>
    <w:p>
      <w:pPr>
        <w:snapToGrid w:val="0"/>
        <w:jc w:val="center"/>
        <w:rPr>
          <w:rFonts w:ascii="黑体" w:eastAsia="黑体" w:cs="宋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沅江市市政工程事务中心</w:t>
      </w:r>
    </w:p>
    <w:p>
      <w:pPr>
        <w:snapToGrid w:val="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整体支出绩效评价报告</w:t>
      </w:r>
    </w:p>
    <w:bookmarkEnd w:id="0"/>
    <w:p>
      <w:pPr>
        <w:snapToGrid w:val="0"/>
        <w:ind w:firstLine="880" w:firstLineChars="200"/>
        <w:rPr>
          <w:rFonts w:ascii="黑体" w:eastAsia="黑体"/>
          <w:sz w:val="44"/>
          <w:szCs w:val="44"/>
        </w:rPr>
      </w:pPr>
    </w:p>
    <w:p>
      <w:pPr>
        <w:spacing w:line="600" w:lineRule="exact"/>
        <w:ind w:firstLine="321" w:firstLineChars="1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一、部门基本情况</w:t>
      </w:r>
    </w:p>
    <w:p>
      <w:pPr>
        <w:spacing w:line="60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(一)机构设置情况</w:t>
      </w:r>
    </w:p>
    <w:p>
      <w:pPr>
        <w:spacing w:line="600" w:lineRule="exact"/>
        <w:ind w:firstLine="787" w:firstLineChars="24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沅江市市政工程事务中心是公益二类差额拨款事业单位，根据沅编发[20</w:t>
      </w:r>
      <w:r>
        <w:rPr>
          <w:rFonts w:ascii="仿宋" w:hAnsi="仿宋" w:eastAsia="仿宋" w:cs="宋体"/>
          <w:sz w:val="32"/>
          <w:szCs w:val="32"/>
        </w:rPr>
        <w:t>20</w:t>
      </w:r>
      <w:r>
        <w:rPr>
          <w:rFonts w:hint="eastAsia" w:ascii="仿宋" w:hAnsi="仿宋" w:eastAsia="仿宋" w:cs="宋体"/>
          <w:sz w:val="32"/>
          <w:szCs w:val="32"/>
        </w:rPr>
        <w:t>]</w:t>
      </w:r>
      <w:r>
        <w:rPr>
          <w:rFonts w:ascii="仿宋" w:hAnsi="仿宋" w:eastAsia="仿宋" w:cs="宋体"/>
          <w:sz w:val="32"/>
          <w:szCs w:val="32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号文件我中心内设4个股室（均为股级）：办公室、财务室、工程技术股、市政监察股。</w:t>
      </w:r>
    </w:p>
    <w:p>
      <w:pPr>
        <w:spacing w:line="600" w:lineRule="exact"/>
        <w:ind w:firstLine="787" w:firstLineChars="24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（二）人员情况</w:t>
      </w:r>
    </w:p>
    <w:p>
      <w:pPr>
        <w:spacing w:line="600" w:lineRule="exact"/>
        <w:ind w:firstLine="787" w:firstLineChars="24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核定差额预算事业编制</w:t>
      </w:r>
      <w:r>
        <w:rPr>
          <w:rFonts w:ascii="仿宋" w:hAnsi="仿宋" w:eastAsia="仿宋" w:cs="宋体"/>
          <w:sz w:val="32"/>
          <w:szCs w:val="32"/>
        </w:rPr>
        <w:t>22</w:t>
      </w:r>
      <w:r>
        <w:rPr>
          <w:rFonts w:hint="eastAsia" w:ascii="仿宋" w:hAnsi="仿宋" w:eastAsia="仿宋" w:cs="宋体"/>
          <w:sz w:val="32"/>
          <w:szCs w:val="32"/>
        </w:rPr>
        <w:t>个。在岗人员3</w:t>
      </w:r>
      <w:r>
        <w:rPr>
          <w:rFonts w:ascii="仿宋" w:hAnsi="仿宋" w:eastAsia="仿宋" w:cs="宋体"/>
          <w:sz w:val="32"/>
          <w:szCs w:val="32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人，3人退伍政策性安置、退休人员</w:t>
      </w:r>
      <w:r>
        <w:rPr>
          <w:rFonts w:ascii="仿宋" w:hAnsi="仿宋" w:eastAsia="仿宋" w:cs="宋体"/>
          <w:sz w:val="32"/>
          <w:szCs w:val="32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人，人员合计4</w:t>
      </w:r>
      <w:r>
        <w:rPr>
          <w:rFonts w:ascii="仿宋" w:hAnsi="仿宋" w:eastAsia="仿宋" w:cs="宋体"/>
          <w:sz w:val="32"/>
          <w:szCs w:val="32"/>
        </w:rPr>
        <w:t>6</w:t>
      </w:r>
      <w:r>
        <w:rPr>
          <w:rFonts w:hint="eastAsia" w:ascii="仿宋" w:hAnsi="仿宋" w:eastAsia="仿宋" w:cs="宋体"/>
          <w:sz w:val="32"/>
          <w:szCs w:val="32"/>
        </w:rPr>
        <w:t>人。</w:t>
      </w:r>
    </w:p>
    <w:p>
      <w:pPr>
        <w:spacing w:line="600" w:lineRule="exact"/>
        <w:ind w:firstLine="787" w:firstLineChars="24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（三）主要工作职责</w:t>
      </w:r>
    </w:p>
    <w:p>
      <w:pPr>
        <w:spacing w:line="6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根据沅编发（2</w:t>
      </w:r>
      <w:r>
        <w:rPr>
          <w:rFonts w:ascii="仿宋" w:hAnsi="仿宋" w:eastAsia="仿宋"/>
          <w:sz w:val="32"/>
          <w:szCs w:val="32"/>
        </w:rPr>
        <w:t>020</w:t>
      </w:r>
      <w:r>
        <w:rPr>
          <w:rFonts w:hint="eastAsia" w:ascii="仿宋" w:hAnsi="仿宋" w:eastAsia="仿宋"/>
          <w:sz w:val="32"/>
          <w:szCs w:val="32"/>
        </w:rPr>
        <w:t>）7号文件规定，其主要职责是：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负责编制市政设施维修预算和改造资金计划；负责市政基础设施的维护维修、改造服务工作；参与中心城区市政建设项目竣工验收移交等工作；参与城市防洪排涝工作；参与城市道路占用挖掘、桥梁挂物、排水许可的施工现场查勘和批后的服务工作；负责对市政设施的日常巡查，协助执法部门依法查处破坏市政设施的违法、违规行为等工作。</w:t>
      </w:r>
    </w:p>
    <w:p>
      <w:pPr>
        <w:spacing w:line="600" w:lineRule="exact"/>
        <w:ind w:firstLine="321" w:firstLineChars="100"/>
        <w:rPr>
          <w:rFonts w:ascii="仿宋" w:hAnsi="仿宋" w:eastAsia="仿宋" w:cs="宋体"/>
          <w:b/>
          <w:bCs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</w:rPr>
        <w:t>二、部门整体支出管理及使用情况</w:t>
      </w:r>
    </w:p>
    <w:p>
      <w:pPr>
        <w:spacing w:line="600" w:lineRule="exact"/>
        <w:ind w:firstLine="320" w:firstLineChars="1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（一）基本支出的管理和使用情况</w:t>
      </w:r>
    </w:p>
    <w:p>
      <w:pPr>
        <w:spacing w:line="600" w:lineRule="exact"/>
        <w:ind w:firstLine="787" w:firstLineChars="24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年初部门预算情况：预算内一般公共预算拨款3</w:t>
      </w:r>
      <w:r>
        <w:rPr>
          <w:rFonts w:ascii="仿宋" w:hAnsi="仿宋" w:eastAsia="仿宋" w:cs="宋体"/>
          <w:sz w:val="32"/>
          <w:szCs w:val="32"/>
        </w:rPr>
        <w:t xml:space="preserve">51.56    </w:t>
      </w:r>
      <w:r>
        <w:rPr>
          <w:rFonts w:hint="eastAsia" w:ascii="仿宋" w:hAnsi="仿宋" w:eastAsia="仿宋" w:cs="宋体"/>
          <w:sz w:val="32"/>
          <w:szCs w:val="32"/>
        </w:rPr>
        <w:t>万元。其它收入2</w:t>
      </w:r>
      <w:r>
        <w:rPr>
          <w:rFonts w:ascii="仿宋" w:hAnsi="仿宋" w:eastAsia="仿宋" w:cs="宋体"/>
          <w:sz w:val="32"/>
          <w:szCs w:val="32"/>
        </w:rPr>
        <w:t>6.53</w:t>
      </w:r>
      <w:r>
        <w:rPr>
          <w:rFonts w:hint="eastAsia" w:ascii="仿宋" w:hAnsi="仿宋" w:eastAsia="仿宋" w:cs="宋体"/>
          <w:sz w:val="32"/>
          <w:szCs w:val="32"/>
        </w:rPr>
        <w:t>万元。共计</w:t>
      </w:r>
      <w:r>
        <w:rPr>
          <w:rFonts w:ascii="仿宋" w:hAnsi="仿宋" w:eastAsia="仿宋" w:cs="宋体"/>
          <w:sz w:val="32"/>
          <w:szCs w:val="32"/>
        </w:rPr>
        <w:t xml:space="preserve"> 378.09</w:t>
      </w:r>
      <w:r>
        <w:rPr>
          <w:rFonts w:hint="eastAsia" w:ascii="仿宋" w:hAnsi="仿宋" w:eastAsia="仿宋" w:cs="宋体"/>
          <w:sz w:val="32"/>
          <w:szCs w:val="32"/>
        </w:rPr>
        <w:t>万元。</w:t>
      </w:r>
    </w:p>
    <w:p>
      <w:pPr>
        <w:spacing w:line="600" w:lineRule="exact"/>
        <w:ind w:firstLine="787" w:firstLineChars="24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年终决算情况：一般公共预算拨款3</w:t>
      </w:r>
      <w:r>
        <w:rPr>
          <w:rFonts w:ascii="仿宋" w:hAnsi="仿宋" w:eastAsia="仿宋" w:cs="宋体"/>
          <w:sz w:val="32"/>
          <w:szCs w:val="32"/>
        </w:rPr>
        <w:t xml:space="preserve">51.56 </w:t>
      </w:r>
      <w:r>
        <w:rPr>
          <w:rFonts w:hint="eastAsia" w:ascii="仿宋" w:hAnsi="仿宋" w:eastAsia="仿宋" w:cs="宋体"/>
          <w:sz w:val="32"/>
          <w:szCs w:val="32"/>
        </w:rPr>
        <w:t>万元，共计3</w:t>
      </w:r>
      <w:r>
        <w:rPr>
          <w:rFonts w:ascii="仿宋" w:hAnsi="仿宋" w:eastAsia="仿宋" w:cs="宋体"/>
          <w:sz w:val="32"/>
          <w:szCs w:val="32"/>
        </w:rPr>
        <w:t>51.56</w:t>
      </w:r>
      <w:r>
        <w:rPr>
          <w:rFonts w:hint="eastAsia" w:ascii="仿宋" w:hAnsi="仿宋" w:eastAsia="仿宋" w:cs="宋体"/>
          <w:sz w:val="32"/>
          <w:szCs w:val="32"/>
        </w:rPr>
        <w:t>万元。</w:t>
      </w:r>
    </w:p>
    <w:p>
      <w:pPr>
        <w:spacing w:line="600" w:lineRule="exact"/>
        <w:ind w:firstLine="787" w:firstLineChars="246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年度收入支出预算执行情况。</w:t>
      </w:r>
    </w:p>
    <w:p>
      <w:pPr>
        <w:spacing w:line="600" w:lineRule="exact"/>
        <w:ind w:firstLine="787" w:firstLineChars="246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年预算执行情况：资金主要用于各项支出4</w:t>
      </w:r>
      <w:r>
        <w:rPr>
          <w:rFonts w:ascii="仿宋" w:hAnsi="仿宋" w:eastAsia="仿宋" w:cs="宋体"/>
          <w:sz w:val="32"/>
          <w:szCs w:val="32"/>
        </w:rPr>
        <w:t xml:space="preserve">45.34     </w:t>
      </w:r>
      <w:r>
        <w:rPr>
          <w:rFonts w:hint="eastAsia" w:ascii="仿宋" w:hAnsi="仿宋" w:eastAsia="仿宋" w:cs="宋体"/>
          <w:sz w:val="32"/>
          <w:szCs w:val="32"/>
        </w:rPr>
        <w:t>万元，其中包含工资福利支出3</w:t>
      </w:r>
      <w:r>
        <w:rPr>
          <w:rFonts w:ascii="仿宋" w:hAnsi="仿宋" w:eastAsia="仿宋" w:cs="宋体"/>
          <w:sz w:val="32"/>
          <w:szCs w:val="32"/>
        </w:rPr>
        <w:t>88.94</w:t>
      </w:r>
      <w:r>
        <w:rPr>
          <w:rFonts w:hint="eastAsia" w:ascii="仿宋" w:hAnsi="仿宋" w:eastAsia="仿宋" w:cs="宋体"/>
          <w:sz w:val="32"/>
          <w:szCs w:val="32"/>
        </w:rPr>
        <w:t>万元、</w:t>
      </w:r>
      <w:r>
        <w:rPr>
          <w:rFonts w:hint="eastAsia" w:ascii="仿宋" w:hAnsi="仿宋" w:eastAsia="仿宋"/>
          <w:sz w:val="32"/>
          <w:szCs w:val="32"/>
        </w:rPr>
        <w:t>公用经费</w:t>
      </w:r>
      <w:r>
        <w:rPr>
          <w:rFonts w:ascii="仿宋" w:hAnsi="仿宋" w:eastAsia="仿宋"/>
          <w:sz w:val="32"/>
          <w:szCs w:val="32"/>
        </w:rPr>
        <w:t xml:space="preserve">      56.4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5"/>
        <w:numPr>
          <w:ilvl w:val="0"/>
          <w:numId w:val="1"/>
        </w:numPr>
        <w:spacing w:line="600" w:lineRule="exact"/>
        <w:ind w:firstLineChars="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三公经费支出情况</w:t>
      </w:r>
    </w:p>
    <w:p>
      <w:pPr>
        <w:spacing w:line="600" w:lineRule="exact"/>
        <w:ind w:left="560"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ascii="仿宋" w:hAnsi="仿宋" w:eastAsia="仿宋" w:cs="宋体"/>
          <w:sz w:val="32"/>
          <w:szCs w:val="32"/>
        </w:rPr>
        <w:t>020年公务接待费用</w:t>
      </w:r>
      <w:r>
        <w:rPr>
          <w:rFonts w:hint="eastAsia" w:ascii="仿宋" w:hAnsi="仿宋" w:eastAsia="仿宋" w:cs="宋体"/>
          <w:sz w:val="32"/>
          <w:szCs w:val="32"/>
        </w:rPr>
        <w:t>2</w:t>
      </w:r>
      <w:r>
        <w:rPr>
          <w:rFonts w:ascii="仿宋" w:hAnsi="仿宋" w:eastAsia="仿宋" w:cs="宋体"/>
          <w:sz w:val="32"/>
          <w:szCs w:val="32"/>
        </w:rPr>
        <w:t>.5万元</w:t>
      </w:r>
      <w:r>
        <w:rPr>
          <w:rFonts w:hint="eastAsia" w:ascii="仿宋" w:hAnsi="仿宋" w:eastAsia="仿宋" w:cs="宋体"/>
          <w:sz w:val="32"/>
          <w:szCs w:val="32"/>
        </w:rPr>
        <w:t>，与上年度持平。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（2）会议费支出情况</w:t>
      </w:r>
    </w:p>
    <w:p>
      <w:pPr>
        <w:snapToGrid w:val="0"/>
        <w:spacing w:line="520" w:lineRule="exact"/>
        <w:ind w:firstLine="1280" w:firstLineChars="4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年无会议费支出。</w:t>
      </w:r>
    </w:p>
    <w:p>
      <w:pPr>
        <w:snapToGrid w:val="0"/>
        <w:spacing w:line="520" w:lineRule="exact"/>
        <w:ind w:firstLine="640" w:firstLineChars="20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（3）培训费支出情况：</w:t>
      </w:r>
    </w:p>
    <w:p>
      <w:pPr>
        <w:snapToGrid w:val="0"/>
        <w:spacing w:line="520" w:lineRule="exact"/>
        <w:ind w:firstLine="1280" w:firstLineChars="400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2020</w:t>
      </w:r>
      <w:r>
        <w:rPr>
          <w:rFonts w:hint="eastAsia" w:ascii="仿宋" w:hAnsi="仿宋" w:eastAsia="仿宋" w:cs="宋体"/>
          <w:sz w:val="32"/>
          <w:szCs w:val="32"/>
        </w:rPr>
        <w:t>年无会议费支出。</w:t>
      </w:r>
    </w:p>
    <w:p>
      <w:pPr>
        <w:pStyle w:val="6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三、部门整体支出管理情况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总的来说，我中心财务管理较为严格，建立了《机关财务管理制度》，并严格按照市财政局制定的公务接待、差旅费、培训费、会议费等相关管理办法，规范了公务支出管理。严格履行财务审批手续，做到了无计划安排不报账，无领导审批不报账，无经手人签字不报账，不符合财务规定的发票、票据不报账。经费的开支管理及费用报销均严格执行相关制度规定，坚持勤俭节约，确保资金的规范使用与安全。对项目资金的实施、资金投向及调度安排、固定资产购置及交付使用进行跟踪管理，确保项目资金专款专用。对于批量及单价在规定金额以上的物品采购，均实行政府采购制度。年度计划、重大支出等重大事项均经过班子集体讨论决定。</w:t>
      </w:r>
    </w:p>
    <w:p>
      <w:pPr>
        <w:pStyle w:val="6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四、部门整体支出绩效情况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根据市财政局要求，我办以绩效评估为契机，认真对照评估指标，按照年度工作计划扎实推进2020年度财政支出绩效自评工作。总的来说，2020年全体干职工积极履职、扎实工作，较好完成了全年工作目标。</w:t>
      </w:r>
    </w:p>
    <w:p>
      <w:pPr>
        <w:pStyle w:val="6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1、切实加强班子及骨干学习，提高综合素质</w:t>
      </w:r>
    </w:p>
    <w:p>
      <w:pPr>
        <w:pStyle w:val="6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（一）强化政治理论学习。通过集中学习和自学等形式，认真学习了党的十九大会议精神，习近平总书记</w:t>
      </w:r>
      <w:bookmarkStart w:id="1" w:name="_GoBack"/>
      <w:bookmarkEnd w:id="1"/>
      <w:r>
        <w:rPr>
          <w:rFonts w:hint="eastAsia" w:ascii="仿宋" w:hAnsi="仿宋" w:eastAsia="仿宋"/>
          <w:sz w:val="32"/>
          <w:szCs w:val="32"/>
        </w:rPr>
        <w:t>系列重要讲话精神，增强了工作的主动性、预见性和贯彻落实党的各项方针政策的自觉性，坚定了为人民群众服好务的信心和决心。</w:t>
      </w:r>
    </w:p>
    <w:p>
      <w:pPr>
        <w:pStyle w:val="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（二）注重业务、管理和相关法律法规等知识的学习，促进了自身思想水平和工作技能的提高，提高了解决、处理复杂问题的能力，提升了依法行政、科学行政水平。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、真抓实干，注重实效，促进城市管理事业不断提升</w:t>
      </w:r>
    </w:p>
    <w:p>
      <w:pPr>
        <w:pStyle w:val="6"/>
        <w:rPr>
          <w:rFonts w:ascii="仿宋" w:hAnsi="仿宋" w:eastAsia="仿宋"/>
          <w:sz w:val="32"/>
          <w:szCs w:val="32"/>
        </w:rPr>
      </w:pPr>
      <w:r>
        <w:rPr>
          <w:rFonts w:hint="eastAsia" w:ascii="新宋体" w:hAnsi="新宋体" w:eastAsia="仿宋"/>
          <w:sz w:val="32"/>
          <w:szCs w:val="32"/>
        </w:rPr>
        <w:t>  </w:t>
      </w:r>
      <w:r>
        <w:rPr>
          <w:rFonts w:hint="eastAsia" w:ascii="仿宋" w:hAnsi="仿宋" w:eastAsia="仿宋"/>
          <w:sz w:val="32"/>
          <w:szCs w:val="32"/>
        </w:rPr>
        <w:t>（一）夯实基础，创新举措，市容秩序质量稳定提升</w:t>
      </w:r>
    </w:p>
    <w:p>
      <w:pPr>
        <w:pStyle w:val="6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加强督查考核，建立日常督查与定期考核机制，实行精细化管理，严格按照制度的有关规定，奖优罚劣，促使城区环境质量稳定提升。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（二）超前谋划，精心部署，有计划的逐步更新设施设备、淘汰落后。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（三）加大了宣传力度，及时处理反馈信息，为民服务质量提升。</w:t>
      </w:r>
    </w:p>
    <w:p>
      <w:pPr>
        <w:pStyle w:val="6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3、政工人事工作稳步推进，成绩显著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扎实推进人事制度改革，不断完善干部职工人事信息，使干部职工人事档案管理工作规范化。依据人事部门的相关文件，制定岗位设定方案，及时调整干职工岗位晋升、技术职称考核合格人员的薪级工资。依照支部决议，制定绩效考核制度，请假制度等，规范并严格作风建设。</w:t>
      </w:r>
    </w:p>
    <w:p>
      <w:pPr>
        <w:pStyle w:val="6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4、以人为本，工会活动聚人心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工会工作在市总工会的正确领导和我办工会的全力支持下，积极转变角色，以服务广大干职工为宗旨，组织职工参加丰富多彩的职工文体活动。传统节假日，工会委员不辞劳苦，为我办干职工发放慰问物资。</w:t>
      </w:r>
    </w:p>
    <w:p>
      <w:pPr>
        <w:pStyle w:val="6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5、立足岗位抓党建促生产，党建工作有声有色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局党组的领导下，坚持以邓小平理论和“三个代表”重要思想为指导，深入贯彻落实科学发展观，贯彻落实党的十九大精神，坚持“立足岗位抓党建促生产”指导思想，积极开展“两学一做”学习教育，严抓党建工作，紧紧围绕中心工作，以加强基层组织建设为抓手，以创建学习型党组织、努力实现整体素质新提高，不断加强党的思想、组织、作风、制度建设和反腐倡廉建设，充分发挥党支部的战斗堡垒作用和党员的先锋模范作用，城市管理、队伍建设和其他各项工作得到不断提升。</w:t>
      </w:r>
    </w:p>
    <w:p>
      <w:pPr>
        <w:pStyle w:val="6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Style w:val="4"/>
          <w:rFonts w:hint="eastAsia" w:ascii="仿宋" w:hAnsi="仿宋" w:eastAsia="仿宋"/>
          <w:color w:val="000000"/>
          <w:sz w:val="32"/>
          <w:szCs w:val="32"/>
        </w:rPr>
        <w:t>五、部门整体支出绩效评价指标分析及有关建议</w:t>
      </w:r>
      <w:r>
        <w:rPr>
          <w:rStyle w:val="4"/>
          <w:rFonts w:hint="eastAsia" w:ascii="新宋体" w:hAnsi="新宋体" w:eastAsia="仿宋"/>
          <w:color w:val="000000"/>
          <w:sz w:val="32"/>
          <w:szCs w:val="32"/>
        </w:rPr>
        <w:t> 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认真对照《2020年部门整体支出绩效评价指标表》开展自评，我办在“投入”、“过程”、“产出”、“效果”等方面都执行较好，自评得分8分。扣分的原因主要是：资金预算编制不够细化，部分项目管理不到位，公益性和创新性项目比例较低，社会公众满意度一般等。</w:t>
      </w:r>
    </w:p>
    <w:p>
      <w:pPr>
        <w:pStyle w:val="6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建议：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1、进一步完善、明确和细化各项费用支出管理制度，严格各项费用使用。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2、加强固定资产的管理，配置专管部门和专管人员，建立固定资产卡片，切实做到账卡相符、账物相符。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3、加强内部管理，增强有效控制力。</w:t>
      </w:r>
    </w:p>
    <w:p>
      <w:pPr>
        <w:pStyle w:val="6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ind w:firstLine="787" w:firstLineChars="246"/>
        <w:rPr>
          <w:rFonts w:ascii="仿宋" w:hAnsi="仿宋" w:eastAsia="仿宋" w:cs="宋体"/>
          <w:sz w:val="32"/>
          <w:szCs w:val="32"/>
        </w:rPr>
      </w:pPr>
    </w:p>
    <w:p>
      <w:pPr>
        <w:spacing w:line="600" w:lineRule="exact"/>
        <w:ind w:firstLine="640" w:firstLineChars="200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沅江市市政工程事务中心</w:t>
      </w:r>
    </w:p>
    <w:p>
      <w:pPr>
        <w:spacing w:line="600" w:lineRule="exact"/>
        <w:ind w:right="560" w:firstLine="640" w:firstLineChars="200"/>
        <w:jc w:val="right"/>
        <w:rPr>
          <w:rFonts w:ascii="仿宋" w:hAnsi="仿宋" w:eastAsia="仿宋" w:cs="宋体"/>
          <w:sz w:val="32"/>
          <w:szCs w:val="32"/>
        </w:rPr>
      </w:pPr>
      <w:r>
        <w:rPr>
          <w:rFonts w:ascii="仿宋" w:hAnsi="仿宋" w:eastAsia="仿宋" w:cs="宋体"/>
          <w:sz w:val="32"/>
          <w:szCs w:val="32"/>
        </w:rPr>
        <w:t>2021年9月24日</w:t>
      </w:r>
      <w:r>
        <w:rPr>
          <w:rFonts w:hint="eastAsia" w:ascii="仿宋" w:hAnsi="仿宋" w:eastAsia="仿宋" w:cs="宋体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170A21"/>
    <w:multiLevelType w:val="multilevel"/>
    <w:tmpl w:val="7E170A21"/>
    <w:lvl w:ilvl="0" w:tentative="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Q1YTA0NDQwMGUyOTQ2MjM5NTA5YzE3ZjI4NTEwYjIifQ=="/>
  </w:docVars>
  <w:rsids>
    <w:rsidRoot w:val="00D96781"/>
    <w:rsid w:val="000700C9"/>
    <w:rsid w:val="0008605F"/>
    <w:rsid w:val="0011692A"/>
    <w:rsid w:val="001E38C2"/>
    <w:rsid w:val="0044634B"/>
    <w:rsid w:val="00491A0F"/>
    <w:rsid w:val="00550760"/>
    <w:rsid w:val="006A1876"/>
    <w:rsid w:val="006C019F"/>
    <w:rsid w:val="006C3C88"/>
    <w:rsid w:val="00704CB5"/>
    <w:rsid w:val="008F25CF"/>
    <w:rsid w:val="00926177"/>
    <w:rsid w:val="00945345"/>
    <w:rsid w:val="009474A4"/>
    <w:rsid w:val="00973A35"/>
    <w:rsid w:val="00A6325C"/>
    <w:rsid w:val="00A95579"/>
    <w:rsid w:val="00AB7AB2"/>
    <w:rsid w:val="00CD49EA"/>
    <w:rsid w:val="00D4785B"/>
    <w:rsid w:val="00D96781"/>
    <w:rsid w:val="00E31AA6"/>
    <w:rsid w:val="069D5562"/>
    <w:rsid w:val="07EF7A3D"/>
    <w:rsid w:val="093F36BE"/>
    <w:rsid w:val="15715610"/>
    <w:rsid w:val="38166CA1"/>
    <w:rsid w:val="49CF3676"/>
    <w:rsid w:val="4C6F21C5"/>
    <w:rsid w:val="5F550F15"/>
    <w:rsid w:val="7575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22"/>
    <w:rPr>
      <w:b/>
      <w:bCs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A7764BEF-59E6-4A7A-8A52-1F394A881B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329</Words>
  <Characters>1880</Characters>
  <Lines>15</Lines>
  <Paragraphs>4</Paragraphs>
  <TotalTime>0</TotalTime>
  <ScaleCrop>false</ScaleCrop>
  <LinksUpToDate>false</LinksUpToDate>
  <CharactersWithSpaces>2205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2021-09-26T02:38:00Z</dcterms:created>
  <dc:creator>Administrator</dc:creator>
  <cp:lastModifiedBy>敏</cp:lastModifiedBy>
  <cp:lastPrinted>2018-07-24T02:55:00Z</cp:lastPrinted>
  <dcterms:modified xsi:type="dcterms:W3CDTF">2023-10-08T02:55:41Z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29670AAB6249411D944E7B69CB932480_12</vt:lpwstr>
  </property>
</Properties>
</file>