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沅江市军队离休退休干部休养所</w:t>
      </w:r>
    </w:p>
    <w:p>
      <w:pPr>
        <w:ind w:firstLine="1807" w:firstLineChars="500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21</w:t>
      </w:r>
      <w:r>
        <w:rPr>
          <w:rFonts w:hint="eastAsia" w:ascii="宋体" w:hAnsi="宋体"/>
          <w:b/>
          <w:sz w:val="36"/>
          <w:szCs w:val="36"/>
        </w:rPr>
        <w:t>年度整体支出绩效</w:t>
      </w:r>
      <w:r>
        <w:rPr>
          <w:rFonts w:hint="eastAsia" w:ascii="宋体" w:hAnsi="宋体"/>
          <w:b/>
          <w:sz w:val="36"/>
          <w:szCs w:val="36"/>
          <w:lang w:eastAsia="zh-CN"/>
        </w:rPr>
        <w:t>评价</w:t>
      </w:r>
      <w:r>
        <w:rPr>
          <w:rFonts w:hint="eastAsia" w:ascii="宋体" w:hAnsi="宋体"/>
          <w:b/>
          <w:sz w:val="36"/>
          <w:szCs w:val="36"/>
        </w:rPr>
        <w:t>报告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一、</w:t>
      </w:r>
      <w:r>
        <w:rPr>
          <w:rFonts w:hint="eastAsia" w:ascii="宋体" w:hAnsi="宋体"/>
          <w:b/>
          <w:sz w:val="28"/>
          <w:szCs w:val="28"/>
        </w:rPr>
        <w:t>部门概况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1、机构设置情况：沅江市军队离休退休干部休养所是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退役军人事务</w:t>
      </w:r>
      <w:r>
        <w:rPr>
          <w:rFonts w:hint="eastAsia" w:ascii="宋体" w:hAnsi="宋体" w:eastAsia="宋体" w:cs="宋体"/>
          <w:sz w:val="28"/>
          <w:szCs w:val="28"/>
        </w:rPr>
        <w:t>局下属的二级事业单位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2、人员情况：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根据编委核定，</w:t>
      </w:r>
      <w:r>
        <w:rPr>
          <w:rFonts w:hint="eastAsia" w:ascii="宋体" w:hAnsi="宋体" w:eastAsia="宋体" w:cs="宋体"/>
          <w:sz w:val="28"/>
          <w:szCs w:val="28"/>
        </w:rPr>
        <w:t>军队离休退休干部休养所实有干职工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，退休人员４人。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主要工作职责是：根据省级部门下达的年度接收安置计划，负责军休干部、无军籍职工的安置和接收安置工作。全面落实军休干部、无军籍职工政治待遇和生活待遇，为军休干部、无军籍职工老有所养、老有所医、老有所教、老有所学、老有所为、老有所乐创造条件。根据工作实际，及时研究解决军休干部服务管理工作中的重要问题，协调有关部门研究解决无军籍职工服务管理重要问题。</w:t>
      </w:r>
    </w:p>
    <w:p>
      <w:pPr>
        <w:widowControl/>
        <w:shd w:val="clear" w:color="auto" w:fill="FFFFFF"/>
        <w:spacing w:line="600" w:lineRule="atLeast"/>
        <w:ind w:firstLine="643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二、部门整体支出管理及使用情况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仿宋_GB2312"/>
          <w:color w:val="333333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（一）基本</w:t>
      </w:r>
      <w:r>
        <w:rPr>
          <w:rFonts w:hint="eastAsia" w:ascii="宋体" w:hAnsi="宋体"/>
          <w:sz w:val="28"/>
          <w:szCs w:val="28"/>
          <w:lang w:eastAsia="zh-CN"/>
        </w:rPr>
        <w:t>支出</w:t>
      </w:r>
    </w:p>
    <w:p>
      <w:pPr>
        <w:widowControl/>
        <w:shd w:val="clear" w:color="auto" w:fill="FFFFFF"/>
        <w:spacing w:line="560" w:lineRule="atLeast"/>
        <w:ind w:firstLine="560" w:firstLineChars="200"/>
        <w:jc w:val="left"/>
        <w:rPr>
          <w:rFonts w:ascii="宋体" w:hAnsi="宋体" w:cs="仿宋_GB2312"/>
          <w:color w:val="333333"/>
          <w:kern w:val="0"/>
          <w:sz w:val="28"/>
          <w:szCs w:val="28"/>
        </w:rPr>
      </w:pPr>
      <w:r>
        <w:rPr>
          <w:rFonts w:hint="eastAsia" w:ascii="宋体" w:hAnsi="宋体" w:cs="仿宋_GB2312"/>
          <w:color w:val="333333"/>
          <w:kern w:val="0"/>
          <w:sz w:val="28"/>
          <w:szCs w:val="28"/>
        </w:rPr>
        <w:t>1、基本支出的主要用途范围及资金的管理情况。</w:t>
      </w:r>
    </w:p>
    <w:p>
      <w:pPr>
        <w:widowControl/>
        <w:shd w:val="clear" w:color="auto" w:fill="FFFFFF"/>
        <w:spacing w:line="560" w:lineRule="atLeast"/>
        <w:ind w:firstLine="560" w:firstLineChars="200"/>
        <w:jc w:val="left"/>
        <w:rPr>
          <w:rFonts w:ascii="宋体" w:hAnsi="宋体" w:cs="仿宋_GB2312"/>
          <w:color w:val="333333"/>
          <w:kern w:val="0"/>
          <w:sz w:val="28"/>
          <w:szCs w:val="28"/>
        </w:rPr>
      </w:pPr>
      <w:r>
        <w:rPr>
          <w:rFonts w:hint="eastAsia" w:ascii="宋体" w:hAnsi="宋体" w:cs="仿宋_GB2312"/>
          <w:color w:val="333333"/>
          <w:kern w:val="0"/>
          <w:sz w:val="28"/>
          <w:szCs w:val="28"/>
        </w:rPr>
        <w:t>基本支出主要用于在职及日常工作和年度重点工作的正常运行。严格遵守市财政局经费来源的分配、管理、使用原则。严格遵守支出审批制度。按照“量力而行、量入为出”的原则，合理安排经费。严格遵守财务内审和监督制度，建立了内部财务管理制度。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atLeast"/>
        <w:ind w:firstLine="560" w:firstLineChars="200"/>
        <w:jc w:val="left"/>
        <w:rPr>
          <w:rFonts w:ascii="宋体" w:hAnsi="宋体" w:cs="仿宋_GB2312"/>
          <w:color w:val="333333"/>
          <w:kern w:val="0"/>
          <w:sz w:val="28"/>
          <w:szCs w:val="28"/>
        </w:rPr>
      </w:pPr>
      <w:r>
        <w:rPr>
          <w:rFonts w:hint="eastAsia" w:ascii="宋体" w:hAnsi="宋体" w:cs="仿宋_GB2312"/>
          <w:color w:val="333333"/>
          <w:kern w:val="0"/>
          <w:sz w:val="28"/>
          <w:szCs w:val="28"/>
        </w:rPr>
        <w:t>年初总预算收支情况。</w:t>
      </w:r>
    </w:p>
    <w:p>
      <w:pPr>
        <w:widowControl/>
        <w:shd w:val="clear" w:color="auto" w:fill="FFFFFF"/>
        <w:spacing w:line="560" w:lineRule="atLeast"/>
        <w:ind w:firstLine="560" w:firstLineChars="200"/>
        <w:jc w:val="left"/>
        <w:rPr>
          <w:rFonts w:ascii="宋体" w:hAnsi="宋体" w:cs="仿宋_GB2312"/>
          <w:color w:val="333333"/>
          <w:kern w:val="0"/>
          <w:sz w:val="28"/>
          <w:szCs w:val="28"/>
        </w:rPr>
      </w:pPr>
      <w:r>
        <w:rPr>
          <w:rFonts w:hint="eastAsia" w:ascii="宋体" w:hAnsi="宋体" w:cs="仿宋_GB2312"/>
          <w:color w:val="333333"/>
          <w:kern w:val="0"/>
          <w:sz w:val="28"/>
          <w:szCs w:val="28"/>
          <w:lang w:val="en-US" w:eastAsia="zh-CN"/>
        </w:rPr>
        <w:t>上年结余496.88万元，</w:t>
      </w:r>
      <w:r>
        <w:rPr>
          <w:rFonts w:hint="eastAsia" w:ascii="宋体" w:hAnsi="宋体" w:cs="仿宋_GB2312"/>
          <w:color w:val="333333"/>
          <w:kern w:val="0"/>
          <w:sz w:val="28"/>
          <w:szCs w:val="28"/>
        </w:rPr>
        <w:t>年初总预算收入</w:t>
      </w:r>
      <w:r>
        <w:rPr>
          <w:rFonts w:hint="eastAsia" w:ascii="宋体" w:hAnsi="宋体" w:cs="仿宋_GB2312"/>
          <w:color w:val="333333"/>
          <w:kern w:val="0"/>
          <w:sz w:val="28"/>
          <w:szCs w:val="28"/>
          <w:lang w:val="en-US" w:eastAsia="zh-CN"/>
        </w:rPr>
        <w:t>444.13</w:t>
      </w:r>
      <w:r>
        <w:rPr>
          <w:rFonts w:hint="eastAsia" w:ascii="宋体" w:hAnsi="宋体" w:cs="仿宋_GB2312"/>
          <w:color w:val="333333"/>
          <w:kern w:val="0"/>
          <w:sz w:val="28"/>
          <w:szCs w:val="28"/>
        </w:rPr>
        <w:t>万元。基本支出</w:t>
      </w:r>
      <w:r>
        <w:rPr>
          <w:rFonts w:hint="eastAsia" w:ascii="宋体" w:hAnsi="宋体" w:cs="仿宋_GB2312"/>
          <w:color w:val="333333"/>
          <w:kern w:val="0"/>
          <w:sz w:val="28"/>
          <w:szCs w:val="28"/>
          <w:lang w:val="en-US" w:eastAsia="zh-CN"/>
        </w:rPr>
        <w:t>324.27</w:t>
      </w:r>
      <w:r>
        <w:rPr>
          <w:rFonts w:hint="eastAsia" w:ascii="宋体" w:hAnsi="宋体" w:cs="仿宋_GB2312"/>
          <w:color w:val="333333"/>
          <w:kern w:val="0"/>
          <w:sz w:val="28"/>
          <w:szCs w:val="28"/>
        </w:rPr>
        <w:t>万元，其中，工资福利支出</w:t>
      </w:r>
      <w:r>
        <w:rPr>
          <w:rFonts w:hint="eastAsia" w:ascii="宋体" w:hAnsi="宋体" w:cs="仿宋_GB2312"/>
          <w:color w:val="333333"/>
          <w:kern w:val="0"/>
          <w:sz w:val="28"/>
          <w:szCs w:val="28"/>
          <w:lang w:val="en-US" w:eastAsia="zh-CN"/>
        </w:rPr>
        <w:t>86.11</w:t>
      </w:r>
      <w:r>
        <w:rPr>
          <w:rFonts w:hint="eastAsia" w:ascii="宋体" w:hAnsi="宋体" w:cs="仿宋_GB2312"/>
          <w:color w:val="333333"/>
          <w:kern w:val="0"/>
          <w:sz w:val="28"/>
          <w:szCs w:val="28"/>
        </w:rPr>
        <w:t>万元，商品和服务支出</w:t>
      </w:r>
      <w:r>
        <w:rPr>
          <w:rFonts w:hint="eastAsia" w:ascii="宋体" w:hAnsi="宋体" w:cs="仿宋_GB2312"/>
          <w:color w:val="333333"/>
          <w:kern w:val="0"/>
          <w:sz w:val="28"/>
          <w:szCs w:val="28"/>
          <w:lang w:val="en-US" w:eastAsia="zh-CN"/>
        </w:rPr>
        <w:t>18.91</w:t>
      </w:r>
      <w:r>
        <w:rPr>
          <w:rFonts w:hint="eastAsia" w:ascii="宋体" w:hAnsi="宋体" w:cs="仿宋_GB2312"/>
          <w:color w:val="333333"/>
          <w:kern w:val="0"/>
          <w:sz w:val="28"/>
          <w:szCs w:val="28"/>
        </w:rPr>
        <w:t>万元</w:t>
      </w:r>
      <w:r>
        <w:rPr>
          <w:rFonts w:hint="eastAsia" w:ascii="宋体" w:hAnsi="宋体" w:cs="仿宋_GB2312"/>
          <w:color w:val="333333"/>
          <w:kern w:val="0"/>
          <w:sz w:val="28"/>
          <w:szCs w:val="28"/>
          <w:lang w:eastAsia="zh-CN"/>
        </w:rPr>
        <w:t>，对个人和家庭的补助</w:t>
      </w:r>
      <w:r>
        <w:rPr>
          <w:rFonts w:hint="eastAsia" w:ascii="宋体" w:hAnsi="宋体" w:cs="仿宋_GB2312"/>
          <w:color w:val="333333"/>
          <w:kern w:val="0"/>
          <w:sz w:val="28"/>
          <w:szCs w:val="28"/>
          <w:lang w:val="en-US" w:eastAsia="zh-CN"/>
        </w:rPr>
        <w:t>219.25万元</w:t>
      </w:r>
      <w:r>
        <w:rPr>
          <w:rFonts w:hint="eastAsia" w:ascii="宋体" w:hAnsi="宋体" w:cs="仿宋_GB2312"/>
          <w:color w:val="333333"/>
          <w:kern w:val="0"/>
          <w:sz w:val="28"/>
          <w:szCs w:val="28"/>
        </w:rPr>
        <w:t>；项目支出</w:t>
      </w:r>
      <w:r>
        <w:rPr>
          <w:rFonts w:hint="eastAsia" w:ascii="宋体" w:hAnsi="宋体" w:cs="仿宋_GB2312"/>
          <w:color w:val="333333"/>
          <w:kern w:val="0"/>
          <w:sz w:val="28"/>
          <w:szCs w:val="28"/>
          <w:lang w:val="en-US" w:eastAsia="zh-CN"/>
        </w:rPr>
        <w:t>616.74</w:t>
      </w:r>
      <w:r>
        <w:rPr>
          <w:rFonts w:hint="eastAsia" w:ascii="宋体" w:hAnsi="宋体" w:cs="仿宋_GB2312"/>
          <w:color w:val="333333"/>
          <w:kern w:val="0"/>
          <w:sz w:val="28"/>
          <w:szCs w:val="28"/>
        </w:rPr>
        <w:t>万元。</w:t>
      </w:r>
    </w:p>
    <w:p>
      <w:pPr>
        <w:widowControl/>
        <w:numPr>
          <w:ilvl w:val="0"/>
          <w:numId w:val="1"/>
        </w:numPr>
        <w:shd w:val="clear" w:color="auto" w:fill="FFFFFF"/>
        <w:spacing w:line="600" w:lineRule="atLeast"/>
        <w:ind w:firstLine="560" w:firstLineChars="200"/>
        <w:jc w:val="left"/>
        <w:rPr>
          <w:rFonts w:ascii="宋体" w:hAnsi="宋体" w:cs="仿宋_GB2312"/>
          <w:color w:val="333333"/>
          <w:kern w:val="0"/>
          <w:sz w:val="28"/>
          <w:szCs w:val="28"/>
        </w:rPr>
      </w:pPr>
      <w:r>
        <w:rPr>
          <w:rFonts w:hint="eastAsia" w:ascii="宋体" w:hAnsi="宋体" w:cs="仿宋_GB2312"/>
          <w:color w:val="333333"/>
          <w:kern w:val="0"/>
          <w:sz w:val="28"/>
          <w:szCs w:val="28"/>
        </w:rPr>
        <w:t>年度预算收入决算情况。</w:t>
      </w:r>
    </w:p>
    <w:p>
      <w:pPr>
        <w:ind w:firstLine="560" w:firstLineChars="200"/>
        <w:jc w:val="left"/>
        <w:rPr>
          <w:rFonts w:ascii="宋体" w:hAnsi="宋体" w:cs="仿宋_GB2312"/>
          <w:color w:val="333333"/>
          <w:kern w:val="0"/>
          <w:sz w:val="28"/>
          <w:szCs w:val="28"/>
        </w:rPr>
      </w:pPr>
      <w:r>
        <w:rPr>
          <w:rFonts w:hint="eastAsia" w:ascii="宋体" w:hAnsi="宋体" w:cs="仿宋_GB2312"/>
          <w:color w:val="333333"/>
          <w:kern w:val="0"/>
          <w:sz w:val="28"/>
          <w:szCs w:val="28"/>
        </w:rPr>
        <w:t>20</w:t>
      </w:r>
      <w:r>
        <w:rPr>
          <w:rFonts w:hint="eastAsia" w:ascii="宋体" w:hAnsi="宋体" w:cs="仿宋_GB2312"/>
          <w:color w:val="333333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cs="仿宋_GB2312"/>
          <w:color w:val="333333"/>
          <w:kern w:val="0"/>
          <w:sz w:val="28"/>
          <w:szCs w:val="28"/>
        </w:rPr>
        <w:t>年度收入合计</w:t>
      </w:r>
      <w:r>
        <w:rPr>
          <w:rFonts w:hint="eastAsia" w:ascii="宋体" w:hAnsi="宋体" w:cs="仿宋_GB2312"/>
          <w:color w:val="333333"/>
          <w:kern w:val="0"/>
          <w:sz w:val="28"/>
          <w:szCs w:val="28"/>
          <w:lang w:val="en-US" w:eastAsia="zh-CN"/>
        </w:rPr>
        <w:t>444.13</w:t>
      </w:r>
      <w:r>
        <w:rPr>
          <w:rFonts w:hint="eastAsia" w:ascii="宋体" w:hAnsi="宋体" w:cs="仿宋_GB2312"/>
          <w:color w:val="333333"/>
          <w:kern w:val="0"/>
          <w:sz w:val="28"/>
          <w:szCs w:val="28"/>
        </w:rPr>
        <w:t>万元，其中：财政拨款收入</w:t>
      </w:r>
      <w:r>
        <w:rPr>
          <w:rFonts w:hint="eastAsia" w:ascii="宋体" w:hAnsi="宋体" w:cs="仿宋_GB2312"/>
          <w:color w:val="333333"/>
          <w:kern w:val="0"/>
          <w:sz w:val="28"/>
          <w:szCs w:val="28"/>
          <w:lang w:val="en-US" w:eastAsia="zh-CN"/>
        </w:rPr>
        <w:t>411.13</w:t>
      </w:r>
      <w:r>
        <w:rPr>
          <w:rFonts w:hint="eastAsia" w:ascii="宋体" w:hAnsi="宋体" w:cs="仿宋_GB2312"/>
          <w:color w:val="333333"/>
          <w:kern w:val="0"/>
          <w:sz w:val="28"/>
          <w:szCs w:val="28"/>
        </w:rPr>
        <w:t>万元</w:t>
      </w:r>
      <w:r>
        <w:rPr>
          <w:rFonts w:hint="eastAsia" w:ascii="宋体" w:hAnsi="宋体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仿宋_GB2312"/>
          <w:color w:val="333333"/>
          <w:kern w:val="0"/>
          <w:sz w:val="28"/>
          <w:szCs w:val="28"/>
        </w:rPr>
        <w:t>其他收入：</w:t>
      </w:r>
      <w:r>
        <w:rPr>
          <w:rFonts w:hint="eastAsia" w:ascii="宋体" w:hAnsi="宋体" w:cs="仿宋_GB2312"/>
          <w:color w:val="333333"/>
          <w:kern w:val="0"/>
          <w:sz w:val="28"/>
          <w:szCs w:val="28"/>
          <w:lang w:val="en-US" w:eastAsia="zh-CN"/>
        </w:rPr>
        <w:t>33</w:t>
      </w:r>
      <w:r>
        <w:rPr>
          <w:rFonts w:hint="eastAsia" w:ascii="宋体" w:hAnsi="宋体" w:cs="仿宋_GB2312"/>
          <w:color w:val="333333"/>
          <w:kern w:val="0"/>
          <w:sz w:val="28"/>
          <w:szCs w:val="28"/>
        </w:rPr>
        <w:t>万元。</w:t>
      </w:r>
    </w:p>
    <w:p>
      <w:pPr>
        <w:widowControl/>
        <w:shd w:val="clear" w:color="auto" w:fill="FFFFFF"/>
        <w:spacing w:line="600" w:lineRule="atLeast"/>
        <w:ind w:firstLine="560" w:firstLineChars="200"/>
        <w:jc w:val="left"/>
        <w:rPr>
          <w:rFonts w:ascii="宋体" w:hAnsi="宋体" w:cs="仿宋_GB2312"/>
          <w:color w:val="333333"/>
          <w:kern w:val="0"/>
          <w:sz w:val="28"/>
          <w:szCs w:val="28"/>
        </w:rPr>
      </w:pPr>
      <w:r>
        <w:rPr>
          <w:rFonts w:hint="eastAsia" w:ascii="宋体" w:hAnsi="宋体" w:cs="仿宋_GB2312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仿宋_GB2312"/>
          <w:color w:val="333333"/>
          <w:kern w:val="0"/>
          <w:sz w:val="28"/>
          <w:szCs w:val="28"/>
        </w:rPr>
        <w:t>、与上年比较“三公经费”控制情况。</w:t>
      </w:r>
    </w:p>
    <w:p>
      <w:pPr>
        <w:widowControl/>
        <w:shd w:val="clear" w:color="auto" w:fill="FFFFFF"/>
        <w:spacing w:line="600" w:lineRule="atLeast"/>
        <w:ind w:firstLine="648"/>
        <w:jc w:val="left"/>
        <w:rPr>
          <w:rFonts w:hint="eastAsia" w:ascii="宋体" w:hAnsi="宋体" w:cs="仿宋_GB2312"/>
          <w:color w:val="333333"/>
          <w:kern w:val="0"/>
          <w:sz w:val="28"/>
          <w:szCs w:val="28"/>
        </w:rPr>
      </w:pPr>
      <w:r>
        <w:rPr>
          <w:rFonts w:hint="eastAsia" w:ascii="宋体" w:hAnsi="宋体" w:cs="仿宋_GB2312"/>
          <w:color w:val="333333"/>
          <w:kern w:val="0"/>
          <w:sz w:val="28"/>
          <w:szCs w:val="28"/>
        </w:rPr>
        <w:t>20</w:t>
      </w:r>
      <w:r>
        <w:rPr>
          <w:rFonts w:hint="eastAsia" w:ascii="宋体" w:hAnsi="宋体" w:cs="仿宋_GB2312"/>
          <w:color w:val="333333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cs="仿宋_GB2312"/>
          <w:color w:val="333333"/>
          <w:kern w:val="0"/>
          <w:sz w:val="28"/>
          <w:szCs w:val="28"/>
        </w:rPr>
        <w:t>年“三公”经费决算为</w:t>
      </w:r>
      <w:r>
        <w:rPr>
          <w:rFonts w:hint="eastAsia" w:ascii="宋体" w:hAnsi="宋体" w:cs="仿宋_GB2312"/>
          <w:color w:val="333333"/>
          <w:kern w:val="0"/>
          <w:sz w:val="28"/>
          <w:szCs w:val="28"/>
          <w:lang w:val="en-US" w:eastAsia="zh-CN"/>
        </w:rPr>
        <w:t>3.51</w:t>
      </w:r>
      <w:r>
        <w:rPr>
          <w:rFonts w:hint="eastAsia" w:ascii="宋体" w:hAnsi="宋体" w:cs="仿宋_GB2312"/>
          <w:color w:val="333333"/>
          <w:kern w:val="0"/>
          <w:sz w:val="28"/>
          <w:szCs w:val="28"/>
        </w:rPr>
        <w:t>万元，较20</w:t>
      </w:r>
      <w:r>
        <w:rPr>
          <w:rFonts w:hint="eastAsia" w:ascii="宋体" w:hAnsi="宋体" w:cs="仿宋_GB2312"/>
          <w:color w:val="333333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cs="仿宋_GB2312"/>
          <w:color w:val="333333"/>
          <w:kern w:val="0"/>
          <w:sz w:val="28"/>
          <w:szCs w:val="28"/>
        </w:rPr>
        <w:t>年下降</w:t>
      </w:r>
      <w:r>
        <w:rPr>
          <w:rFonts w:hint="eastAsia" w:ascii="宋体" w:hAnsi="宋体" w:cs="仿宋_GB2312"/>
          <w:color w:val="333333"/>
          <w:kern w:val="0"/>
          <w:sz w:val="28"/>
          <w:szCs w:val="28"/>
          <w:lang w:val="en-US" w:eastAsia="zh-CN"/>
        </w:rPr>
        <w:t>0.79</w:t>
      </w:r>
      <w:r>
        <w:rPr>
          <w:rFonts w:hint="eastAsia" w:ascii="宋体" w:hAnsi="宋体" w:cs="仿宋_GB2312"/>
          <w:color w:val="333333"/>
          <w:kern w:val="0"/>
          <w:sz w:val="28"/>
          <w:szCs w:val="28"/>
        </w:rPr>
        <w:t>万元；20</w:t>
      </w:r>
      <w:r>
        <w:rPr>
          <w:rFonts w:hint="eastAsia" w:ascii="宋体" w:hAnsi="宋体" w:cs="仿宋_GB2312"/>
          <w:color w:val="333333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cs="仿宋_GB2312"/>
          <w:color w:val="333333"/>
          <w:kern w:val="0"/>
          <w:sz w:val="28"/>
          <w:szCs w:val="28"/>
        </w:rPr>
        <w:t>年度“三公”经费减少的主要原因：严格落实中央八项规定精神，严格控制公务接待，严控接待标准。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仿宋_GB2312"/>
          <w:color w:val="333333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eastAsia="zh-CN"/>
        </w:rPr>
        <w:t>二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  <w:lang w:eastAsia="zh-CN"/>
        </w:rPr>
        <w:t>项目支出</w:t>
      </w:r>
    </w:p>
    <w:p>
      <w:pPr>
        <w:widowControl/>
        <w:shd w:val="clear" w:color="auto" w:fill="FFFFFF"/>
        <w:spacing w:line="600" w:lineRule="atLeast"/>
        <w:ind w:firstLine="648"/>
        <w:jc w:val="left"/>
        <w:rPr>
          <w:rFonts w:hint="default" w:ascii="宋体" w:hAnsi="宋体" w:eastAsia="宋体" w:cs="仿宋_GB2312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color w:val="333333"/>
          <w:kern w:val="0"/>
          <w:sz w:val="28"/>
          <w:szCs w:val="28"/>
          <w:lang w:eastAsia="zh-CN"/>
        </w:rPr>
        <w:t>我单位</w:t>
      </w:r>
      <w:r>
        <w:rPr>
          <w:rFonts w:hint="eastAsia" w:ascii="宋体" w:hAnsi="宋体" w:cs="仿宋_GB2312"/>
          <w:color w:val="333333"/>
          <w:kern w:val="0"/>
          <w:sz w:val="28"/>
          <w:szCs w:val="28"/>
          <w:lang w:val="en-US" w:eastAsia="zh-CN"/>
        </w:rPr>
        <w:t>2021年</w:t>
      </w:r>
      <w:r>
        <w:rPr>
          <w:rFonts w:hint="eastAsia" w:ascii="宋体" w:hAnsi="宋体" w:cs="仿宋_GB2312"/>
          <w:color w:val="333333"/>
          <w:kern w:val="0"/>
          <w:sz w:val="28"/>
          <w:szCs w:val="28"/>
        </w:rPr>
        <w:t>项目支出</w:t>
      </w:r>
      <w:r>
        <w:rPr>
          <w:rFonts w:hint="eastAsia" w:ascii="宋体" w:hAnsi="宋体" w:cs="仿宋_GB2312"/>
          <w:color w:val="333333"/>
          <w:kern w:val="0"/>
          <w:sz w:val="28"/>
          <w:szCs w:val="28"/>
          <w:lang w:val="en-US" w:eastAsia="zh-CN"/>
        </w:rPr>
        <w:t>616.74</w:t>
      </w:r>
      <w:r>
        <w:rPr>
          <w:rFonts w:hint="eastAsia" w:ascii="宋体" w:hAnsi="宋体" w:cs="仿宋_GB2312"/>
          <w:color w:val="333333"/>
          <w:kern w:val="0"/>
          <w:sz w:val="28"/>
          <w:szCs w:val="28"/>
        </w:rPr>
        <w:t>万元</w:t>
      </w:r>
      <w:r>
        <w:rPr>
          <w:rFonts w:hint="eastAsia" w:ascii="宋体" w:hAnsi="宋体" w:cs="仿宋_GB2312"/>
          <w:color w:val="333333"/>
          <w:kern w:val="0"/>
          <w:sz w:val="28"/>
          <w:szCs w:val="28"/>
          <w:lang w:eastAsia="zh-CN"/>
        </w:rPr>
        <w:t>，其中</w:t>
      </w:r>
      <w:r>
        <w:rPr>
          <w:rFonts w:hint="eastAsia" w:ascii="宋体" w:hAnsi="宋体" w:cs="仿宋_GB2312"/>
          <w:color w:val="333333"/>
          <w:kern w:val="0"/>
          <w:sz w:val="28"/>
          <w:szCs w:val="28"/>
        </w:rPr>
        <w:t>商品和服务支出</w:t>
      </w:r>
      <w:r>
        <w:rPr>
          <w:rFonts w:hint="eastAsia" w:ascii="宋体" w:hAnsi="宋体" w:cs="仿宋_GB2312"/>
          <w:color w:val="333333"/>
          <w:kern w:val="0"/>
          <w:sz w:val="28"/>
          <w:szCs w:val="28"/>
          <w:lang w:val="en-US" w:eastAsia="zh-CN"/>
        </w:rPr>
        <w:t>44.87</w:t>
      </w:r>
      <w:r>
        <w:rPr>
          <w:rFonts w:hint="eastAsia" w:ascii="宋体" w:hAnsi="宋体" w:cs="仿宋_GB2312"/>
          <w:color w:val="333333"/>
          <w:kern w:val="0"/>
          <w:sz w:val="28"/>
          <w:szCs w:val="28"/>
        </w:rPr>
        <w:t>万元</w:t>
      </w:r>
      <w:r>
        <w:rPr>
          <w:rFonts w:hint="eastAsia" w:ascii="宋体" w:hAnsi="宋体" w:cs="仿宋_GB2312"/>
          <w:color w:val="333333"/>
          <w:kern w:val="0"/>
          <w:sz w:val="28"/>
          <w:szCs w:val="28"/>
          <w:lang w:eastAsia="zh-CN"/>
        </w:rPr>
        <w:t>，对个人和家庭的补助</w:t>
      </w:r>
      <w:r>
        <w:rPr>
          <w:rFonts w:hint="eastAsia" w:ascii="宋体" w:hAnsi="宋体" w:cs="仿宋_GB2312"/>
          <w:color w:val="333333"/>
          <w:kern w:val="0"/>
          <w:sz w:val="28"/>
          <w:szCs w:val="28"/>
          <w:lang w:val="en-US" w:eastAsia="zh-CN"/>
        </w:rPr>
        <w:t>149.73万元，资本性支出（基础设施）335.79万元，资本性支出86.35万元。</w:t>
      </w:r>
    </w:p>
    <w:p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三、部门年度重点工作计划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1、确保省绩效考核及市全面小康指标落实到位。涉及我所主要有关作风建设、财政预算绩效管理的项目指标。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2、根据局工作报告目标任务分解，确保“三公”经费支出“零增长”。</w:t>
      </w:r>
    </w:p>
    <w:p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四、部门整体支出绩效情况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切实落实两项待遇。认真落实军休干部的政治待遇，及时传达上级有关文件精神，让军休干部了解党的方针、政策，关注社会发展情况，掌握时代脉博，做到思想上、认识上与时俱进。不折不扣地落实军休干部的生活待遇，严格执行有关待遇的政策规定，及时将资金发放到位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不断增强服务意识。把“以人为本，亲情服务”作为强所理念，利用各种重要节日，开展军休老干部走访慰问活动，主动了解军休干部的思想动态，帮助解决生活困难，并为他们送上慰问金、慰问品，让军休干部实实在在感受到军休所的温暖与关爱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3.精心组织文体活动。202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年，我所组织参加了门球邀请赛，不定期组织军休干部开展钓鱼比赛，并在端午、“八一”中秋节组织开展相关活动。通过这些活动的开展，不仅锻炼了军休人员的身体，也陶冶了情操，密切了工休关系。</w:t>
      </w:r>
      <w:bookmarkStart w:id="0" w:name="_GoBack"/>
      <w:bookmarkEnd w:id="0"/>
    </w:p>
    <w:p>
      <w:pPr>
        <w:ind w:firstLine="562" w:firstLineChars="200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五、存在的主要问题</w:t>
      </w:r>
      <w:r>
        <w:rPr>
          <w:rFonts w:hint="eastAsia" w:ascii="宋体" w:hAnsi="宋体"/>
          <w:b/>
          <w:sz w:val="28"/>
          <w:szCs w:val="28"/>
          <w:lang w:eastAsia="zh-CN"/>
        </w:rPr>
        <w:t>与</w:t>
      </w:r>
      <w:r>
        <w:rPr>
          <w:rFonts w:hint="eastAsia" w:ascii="宋体" w:hAnsi="宋体"/>
          <w:b/>
          <w:sz w:val="28"/>
          <w:szCs w:val="28"/>
        </w:rPr>
        <w:t>改进措施</w:t>
      </w:r>
    </w:p>
    <w:p>
      <w:pPr>
        <w:ind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从财政职能方面看：财政收支矛盾仍然突出，运行经费不足。</w:t>
      </w:r>
      <w:r>
        <w:rPr>
          <w:rFonts w:hint="eastAsia" w:ascii="宋体" w:hAnsi="宋体"/>
          <w:sz w:val="28"/>
          <w:szCs w:val="28"/>
          <w:lang w:eastAsia="zh-CN"/>
        </w:rPr>
        <w:t>建议</w:t>
      </w:r>
      <w:r>
        <w:rPr>
          <w:rFonts w:hint="eastAsia" w:ascii="宋体" w:hAnsi="宋体"/>
          <w:sz w:val="28"/>
          <w:szCs w:val="28"/>
        </w:rPr>
        <w:t>科学理财，强化职能作用。积极推进账务决算公开，不断提高理财透明度；严格兑现各项节支降费，增强单位发展动力。</w:t>
      </w:r>
    </w:p>
    <w:p>
      <w:pPr>
        <w:ind w:firstLine="4340" w:firstLineChars="1550"/>
        <w:rPr>
          <w:rFonts w:hint="eastAsia" w:ascii="宋体" w:hAnsi="宋体"/>
          <w:sz w:val="28"/>
          <w:szCs w:val="28"/>
        </w:rPr>
      </w:pPr>
    </w:p>
    <w:p>
      <w:pPr>
        <w:ind w:firstLine="4340" w:firstLineChars="1550"/>
        <w:rPr>
          <w:rFonts w:hint="eastAsia" w:ascii="宋体" w:hAnsi="宋体"/>
          <w:sz w:val="28"/>
          <w:szCs w:val="28"/>
        </w:rPr>
      </w:pPr>
    </w:p>
    <w:p>
      <w:pPr>
        <w:ind w:firstLine="4340" w:firstLineChars="15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沅江市军队离休退休干部休养所</w:t>
      </w:r>
    </w:p>
    <w:p>
      <w:pPr>
        <w:ind w:right="280" w:firstLine="420" w:firstLineChars="15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27</w:t>
      </w:r>
      <w:r>
        <w:rPr>
          <w:rFonts w:hint="eastAsia" w:ascii="宋体" w:hAnsi="宋体"/>
          <w:sz w:val="28"/>
          <w:szCs w:val="28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36D52"/>
    <w:multiLevelType w:val="singleLevel"/>
    <w:tmpl w:val="59A36D5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QzZGZiNDAyMjRhNjEyNWIwYWFhZDIyOThhM2VjYTUifQ=="/>
  </w:docVars>
  <w:rsids>
    <w:rsidRoot w:val="00BB3191"/>
    <w:rsid w:val="00007B4F"/>
    <w:rsid w:val="0002218E"/>
    <w:rsid w:val="00037771"/>
    <w:rsid w:val="000454D4"/>
    <w:rsid w:val="000621BC"/>
    <w:rsid w:val="00067D5D"/>
    <w:rsid w:val="0008128A"/>
    <w:rsid w:val="000818A7"/>
    <w:rsid w:val="000908AE"/>
    <w:rsid w:val="00092B98"/>
    <w:rsid w:val="000B69A1"/>
    <w:rsid w:val="000B7FD1"/>
    <w:rsid w:val="0012010A"/>
    <w:rsid w:val="00122984"/>
    <w:rsid w:val="001506BE"/>
    <w:rsid w:val="001545FF"/>
    <w:rsid w:val="00160449"/>
    <w:rsid w:val="001750A7"/>
    <w:rsid w:val="001B0379"/>
    <w:rsid w:val="001C429B"/>
    <w:rsid w:val="00207FD8"/>
    <w:rsid w:val="00275446"/>
    <w:rsid w:val="002D1974"/>
    <w:rsid w:val="002D5D65"/>
    <w:rsid w:val="002F2564"/>
    <w:rsid w:val="00304CEF"/>
    <w:rsid w:val="003074C2"/>
    <w:rsid w:val="00331FE0"/>
    <w:rsid w:val="00337ABA"/>
    <w:rsid w:val="0034656C"/>
    <w:rsid w:val="003536E1"/>
    <w:rsid w:val="00376DF6"/>
    <w:rsid w:val="003912FD"/>
    <w:rsid w:val="003E2D73"/>
    <w:rsid w:val="003E7E88"/>
    <w:rsid w:val="00400E8A"/>
    <w:rsid w:val="00410AD0"/>
    <w:rsid w:val="00435111"/>
    <w:rsid w:val="00466455"/>
    <w:rsid w:val="005069A6"/>
    <w:rsid w:val="00543BBD"/>
    <w:rsid w:val="0056475E"/>
    <w:rsid w:val="00566471"/>
    <w:rsid w:val="005666FB"/>
    <w:rsid w:val="00594926"/>
    <w:rsid w:val="005A2BC6"/>
    <w:rsid w:val="005A44D7"/>
    <w:rsid w:val="00623A76"/>
    <w:rsid w:val="00642EEB"/>
    <w:rsid w:val="006C085A"/>
    <w:rsid w:val="006E53E1"/>
    <w:rsid w:val="00704782"/>
    <w:rsid w:val="007120BF"/>
    <w:rsid w:val="007147C1"/>
    <w:rsid w:val="00715D87"/>
    <w:rsid w:val="0077748A"/>
    <w:rsid w:val="0079708C"/>
    <w:rsid w:val="007A4EF6"/>
    <w:rsid w:val="007B4D7A"/>
    <w:rsid w:val="007F255F"/>
    <w:rsid w:val="00804731"/>
    <w:rsid w:val="0081378C"/>
    <w:rsid w:val="0082564D"/>
    <w:rsid w:val="00831D78"/>
    <w:rsid w:val="00832423"/>
    <w:rsid w:val="00833039"/>
    <w:rsid w:val="00841E83"/>
    <w:rsid w:val="00862BB6"/>
    <w:rsid w:val="008727B2"/>
    <w:rsid w:val="008F1841"/>
    <w:rsid w:val="009358CF"/>
    <w:rsid w:val="00940BBE"/>
    <w:rsid w:val="00974209"/>
    <w:rsid w:val="00977067"/>
    <w:rsid w:val="0098108D"/>
    <w:rsid w:val="009951FA"/>
    <w:rsid w:val="009F348A"/>
    <w:rsid w:val="00A846E5"/>
    <w:rsid w:val="00A848CD"/>
    <w:rsid w:val="00A95B95"/>
    <w:rsid w:val="00AC458E"/>
    <w:rsid w:val="00AD74D0"/>
    <w:rsid w:val="00AF5521"/>
    <w:rsid w:val="00B31973"/>
    <w:rsid w:val="00B76D38"/>
    <w:rsid w:val="00BA0136"/>
    <w:rsid w:val="00BB3191"/>
    <w:rsid w:val="00BF26B8"/>
    <w:rsid w:val="00C03A6A"/>
    <w:rsid w:val="00C11697"/>
    <w:rsid w:val="00C4387A"/>
    <w:rsid w:val="00C5375C"/>
    <w:rsid w:val="00C968F4"/>
    <w:rsid w:val="00D05C65"/>
    <w:rsid w:val="00D122FA"/>
    <w:rsid w:val="00D27ED9"/>
    <w:rsid w:val="00D37486"/>
    <w:rsid w:val="00D4468B"/>
    <w:rsid w:val="00DA1EDD"/>
    <w:rsid w:val="00DA7173"/>
    <w:rsid w:val="00DC0E63"/>
    <w:rsid w:val="00DF1004"/>
    <w:rsid w:val="00E12158"/>
    <w:rsid w:val="00E139E5"/>
    <w:rsid w:val="00E15F7D"/>
    <w:rsid w:val="00E34BE9"/>
    <w:rsid w:val="00E4120E"/>
    <w:rsid w:val="00E60F0C"/>
    <w:rsid w:val="00EB0210"/>
    <w:rsid w:val="00EB372C"/>
    <w:rsid w:val="00ED16D9"/>
    <w:rsid w:val="00EE27B4"/>
    <w:rsid w:val="00EE3114"/>
    <w:rsid w:val="00EE5E41"/>
    <w:rsid w:val="00F13570"/>
    <w:rsid w:val="00F137D0"/>
    <w:rsid w:val="00F36B1F"/>
    <w:rsid w:val="00F4163A"/>
    <w:rsid w:val="00FA2D6E"/>
    <w:rsid w:val="00FC0638"/>
    <w:rsid w:val="00FD53E1"/>
    <w:rsid w:val="00FF0299"/>
    <w:rsid w:val="04776EED"/>
    <w:rsid w:val="06F3577C"/>
    <w:rsid w:val="0748602A"/>
    <w:rsid w:val="087B4279"/>
    <w:rsid w:val="0A89405F"/>
    <w:rsid w:val="0B351004"/>
    <w:rsid w:val="0F2033CB"/>
    <w:rsid w:val="13FA19D4"/>
    <w:rsid w:val="15C57AFF"/>
    <w:rsid w:val="1BC224B4"/>
    <w:rsid w:val="1C125718"/>
    <w:rsid w:val="1C741FB0"/>
    <w:rsid w:val="1CD222EC"/>
    <w:rsid w:val="1DC82C03"/>
    <w:rsid w:val="1E7C411A"/>
    <w:rsid w:val="1EDA44B4"/>
    <w:rsid w:val="20ED5A57"/>
    <w:rsid w:val="24BE4390"/>
    <w:rsid w:val="28D26C92"/>
    <w:rsid w:val="29AB611D"/>
    <w:rsid w:val="2BEF028D"/>
    <w:rsid w:val="2DED5CF9"/>
    <w:rsid w:val="32FE24F9"/>
    <w:rsid w:val="33EC443C"/>
    <w:rsid w:val="35904736"/>
    <w:rsid w:val="36AF269A"/>
    <w:rsid w:val="393A393D"/>
    <w:rsid w:val="3AF66A59"/>
    <w:rsid w:val="3B6936DE"/>
    <w:rsid w:val="3D7A11E1"/>
    <w:rsid w:val="3D9B584E"/>
    <w:rsid w:val="3E851FF8"/>
    <w:rsid w:val="3EBC3373"/>
    <w:rsid w:val="41656B6A"/>
    <w:rsid w:val="42510332"/>
    <w:rsid w:val="42AF0385"/>
    <w:rsid w:val="437D4D6B"/>
    <w:rsid w:val="44FF60F6"/>
    <w:rsid w:val="464A323E"/>
    <w:rsid w:val="46F31F87"/>
    <w:rsid w:val="474222E0"/>
    <w:rsid w:val="4A0A282E"/>
    <w:rsid w:val="4A1F49AE"/>
    <w:rsid w:val="50220206"/>
    <w:rsid w:val="53E45E46"/>
    <w:rsid w:val="54F961C4"/>
    <w:rsid w:val="55DD2EE5"/>
    <w:rsid w:val="563E0A2C"/>
    <w:rsid w:val="56411C99"/>
    <w:rsid w:val="5E8918DF"/>
    <w:rsid w:val="5EF17835"/>
    <w:rsid w:val="5FBC2374"/>
    <w:rsid w:val="6459567E"/>
    <w:rsid w:val="64A73338"/>
    <w:rsid w:val="65401723"/>
    <w:rsid w:val="65BF13ED"/>
    <w:rsid w:val="68A273C0"/>
    <w:rsid w:val="6BC23898"/>
    <w:rsid w:val="6D8D2819"/>
    <w:rsid w:val="6E396E83"/>
    <w:rsid w:val="6FFA1989"/>
    <w:rsid w:val="76A24662"/>
    <w:rsid w:val="7A982866"/>
    <w:rsid w:val="7C8C3078"/>
    <w:rsid w:val="7CF03085"/>
    <w:rsid w:val="7DC0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1311</Words>
  <Characters>1413</Characters>
  <Lines>10</Lines>
  <Paragraphs>3</Paragraphs>
  <TotalTime>6</TotalTime>
  <ScaleCrop>false</ScaleCrop>
  <LinksUpToDate>false</LinksUpToDate>
  <CharactersWithSpaces>1413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2019-07-29T09:10:00Z</dcterms:created>
  <dc:creator>微软用户</dc:creator>
  <cp:lastModifiedBy>Administrator</cp:lastModifiedBy>
  <cp:lastPrinted>2019-07-29T09:12:00Z</cp:lastPrinted>
  <dcterms:modified xsi:type="dcterms:W3CDTF">2022-07-27T01:21:06Z</dcterms:modified>
  <dc:title>岳阳市财政局2015年度整体支出绩效自评报告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BACF9B7ED7454210B4B4F55E65EB91B4</vt:lpwstr>
  </property>
</Properties>
</file>