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rFonts w:hint="default" w:ascii="华文仿宋" w:hAnsi="华文仿宋" w:eastAsia="华文仿宋" w:cs="华文仿宋"/>
          <w:b/>
          <w:bCs/>
          <w:sz w:val="44"/>
          <w:szCs w:val="44"/>
          <w:lang w:val="en-US" w:eastAsia="zh-CN"/>
        </w:rPr>
      </w:pPr>
      <w:r>
        <w:rPr>
          <w:rFonts w:hint="eastAsia" w:ascii="华文仿宋" w:hAnsi="华文仿宋" w:eastAsia="华文仿宋" w:cs="华文仿宋"/>
          <w:b/>
          <w:bCs/>
          <w:sz w:val="44"/>
          <w:szCs w:val="44"/>
          <w:lang w:val="en-US" w:eastAsia="zh-CN"/>
        </w:rPr>
        <w:t>2021年度胭脂湖血控站</w:t>
      </w:r>
    </w:p>
    <w:p>
      <w:pPr>
        <w:ind w:firstLine="2209" w:firstLineChars="500"/>
        <w:rPr>
          <w:rFonts w:hint="eastAsia" w:ascii="华文仿宋" w:hAnsi="华文仿宋" w:eastAsia="华文仿宋" w:cs="华文仿宋"/>
          <w:b/>
          <w:bCs/>
          <w:sz w:val="44"/>
          <w:szCs w:val="44"/>
          <w:lang w:val="en-US" w:eastAsia="zh-CN"/>
        </w:rPr>
      </w:pPr>
      <w:r>
        <w:rPr>
          <w:rFonts w:hint="eastAsia" w:ascii="华文仿宋" w:hAnsi="华文仿宋" w:eastAsia="华文仿宋" w:cs="华文仿宋"/>
          <w:b/>
          <w:bCs/>
          <w:sz w:val="44"/>
          <w:szCs w:val="44"/>
          <w:lang w:val="en-US" w:eastAsia="zh-CN"/>
        </w:rPr>
        <w:t>整体资金绩效自评报告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300" w:afterAutospacing="0" w:line="33" w:lineRule="atLeast"/>
        <w:ind w:left="0" w:right="0" w:firstLine="420"/>
        <w:jc w:val="both"/>
        <w:rPr>
          <w:rFonts w:hint="eastAsia" w:ascii="华文仿宋" w:hAnsi="华文仿宋" w:eastAsia="华文仿宋" w:cs="华文仿宋"/>
          <w:sz w:val="30"/>
          <w:szCs w:val="30"/>
          <w:lang w:eastAsia="zh-CN"/>
        </w:rPr>
      </w:pPr>
      <w:r>
        <w:rPr>
          <w:rFonts w:hint="eastAsia" w:ascii="华文仿宋" w:hAnsi="华文仿宋" w:eastAsia="华文仿宋" w:cs="华文仿宋"/>
          <w:b w:val="0"/>
          <w:i w:val="0"/>
          <w:caps w:val="0"/>
          <w:color w:val="333333"/>
          <w:spacing w:val="0"/>
          <w:sz w:val="30"/>
          <w:szCs w:val="30"/>
          <w:shd w:val="clear" w:fill="FFFFFF"/>
        </w:rPr>
        <w:t>为进一步规范财政资金管理，强化</w:t>
      </w:r>
      <w:r>
        <w:rPr>
          <w:rFonts w:hint="eastAsia" w:ascii="华文仿宋" w:hAnsi="华文仿宋" w:eastAsia="华文仿宋" w:cs="华文仿宋"/>
          <w:b w:val="0"/>
          <w:i w:val="0"/>
          <w:caps w:val="0"/>
          <w:color w:val="333333"/>
          <w:spacing w:val="0"/>
          <w:sz w:val="30"/>
          <w:szCs w:val="30"/>
          <w:shd w:val="clear" w:fill="FFFFFF"/>
          <w:lang w:val="en-US" w:eastAsia="zh-CN"/>
        </w:rPr>
        <w:t>单位</w:t>
      </w:r>
      <w:r>
        <w:rPr>
          <w:rFonts w:hint="eastAsia" w:ascii="华文仿宋" w:hAnsi="华文仿宋" w:eastAsia="华文仿宋" w:cs="华文仿宋"/>
          <w:b w:val="0"/>
          <w:i w:val="0"/>
          <w:caps w:val="0"/>
          <w:color w:val="333333"/>
          <w:spacing w:val="0"/>
          <w:sz w:val="30"/>
          <w:szCs w:val="30"/>
          <w:shd w:val="clear" w:fill="FFFFFF"/>
        </w:rPr>
        <w:t>责任意识，切实提高财政</w:t>
      </w:r>
      <w:r>
        <w:rPr>
          <w:rFonts w:hint="eastAsia" w:ascii="华文仿宋" w:hAnsi="华文仿宋" w:eastAsia="华文仿宋" w:cs="华文仿宋"/>
          <w:b w:val="0"/>
          <w:i w:val="0"/>
          <w:caps w:val="0"/>
          <w:color w:val="333333"/>
          <w:spacing w:val="0"/>
          <w:sz w:val="30"/>
          <w:szCs w:val="30"/>
          <w:shd w:val="clear" w:fill="FFFFFF"/>
          <w:lang w:val="en-US" w:eastAsia="zh-CN"/>
        </w:rPr>
        <w:t>专项</w:t>
      </w:r>
      <w:r>
        <w:rPr>
          <w:rFonts w:hint="eastAsia" w:ascii="华文仿宋" w:hAnsi="华文仿宋" w:eastAsia="华文仿宋" w:cs="华文仿宋"/>
          <w:b w:val="0"/>
          <w:i w:val="0"/>
          <w:caps w:val="0"/>
          <w:color w:val="333333"/>
          <w:spacing w:val="0"/>
          <w:sz w:val="30"/>
          <w:szCs w:val="30"/>
          <w:shd w:val="clear" w:fill="FFFFFF"/>
        </w:rPr>
        <w:t>资金使用效益。根据</w:t>
      </w:r>
      <w:r>
        <w:rPr>
          <w:rFonts w:hint="eastAsia" w:ascii="华文仿宋" w:hAnsi="华文仿宋" w:eastAsia="华文仿宋" w:cs="华文仿宋"/>
          <w:b w:val="0"/>
          <w:i w:val="0"/>
          <w:caps w:val="0"/>
          <w:color w:val="333333"/>
          <w:spacing w:val="0"/>
          <w:sz w:val="30"/>
          <w:szCs w:val="30"/>
          <w:shd w:val="clear" w:fill="FFFFFF"/>
          <w:lang w:val="en-US" w:eastAsia="zh-CN"/>
        </w:rPr>
        <w:t>有关通知</w:t>
      </w:r>
      <w:r>
        <w:rPr>
          <w:rFonts w:hint="eastAsia" w:ascii="华文仿宋" w:hAnsi="华文仿宋" w:eastAsia="华文仿宋" w:cs="华文仿宋"/>
          <w:b w:val="0"/>
          <w:i w:val="0"/>
          <w:caps w:val="0"/>
          <w:color w:val="333333"/>
          <w:spacing w:val="0"/>
          <w:sz w:val="30"/>
          <w:szCs w:val="30"/>
          <w:shd w:val="clear" w:fill="FFFFFF"/>
        </w:rPr>
        <w:t>的要求和</w:t>
      </w:r>
      <w:r>
        <w:rPr>
          <w:rFonts w:hint="eastAsia" w:ascii="华文仿宋" w:hAnsi="华文仿宋" w:eastAsia="华文仿宋" w:cs="华文仿宋"/>
          <w:b w:val="0"/>
          <w:i w:val="0"/>
          <w:caps w:val="0"/>
          <w:color w:val="333333"/>
          <w:spacing w:val="0"/>
          <w:sz w:val="30"/>
          <w:szCs w:val="30"/>
          <w:shd w:val="clear" w:fill="FFFFFF"/>
          <w:lang w:val="en-US" w:eastAsia="zh-CN"/>
        </w:rPr>
        <w:t>市</w:t>
      </w:r>
      <w:r>
        <w:rPr>
          <w:rFonts w:hint="eastAsia" w:ascii="华文仿宋" w:hAnsi="华文仿宋" w:eastAsia="华文仿宋" w:cs="华文仿宋"/>
          <w:b w:val="0"/>
          <w:i w:val="0"/>
          <w:caps w:val="0"/>
          <w:color w:val="333333"/>
          <w:spacing w:val="0"/>
          <w:sz w:val="30"/>
          <w:szCs w:val="30"/>
          <w:shd w:val="clear" w:fill="FFFFFF"/>
        </w:rPr>
        <w:t>财政局关于项目</w:t>
      </w:r>
      <w:r>
        <w:rPr>
          <w:rFonts w:hint="eastAsia" w:ascii="华文仿宋" w:hAnsi="华文仿宋" w:eastAsia="华文仿宋" w:cs="华文仿宋"/>
          <w:b w:val="0"/>
          <w:i w:val="0"/>
          <w:caps w:val="0"/>
          <w:color w:val="333333"/>
          <w:spacing w:val="0"/>
          <w:sz w:val="30"/>
          <w:szCs w:val="30"/>
          <w:shd w:val="clear" w:fill="FFFFFF"/>
          <w:lang w:val="en-US" w:eastAsia="zh-CN"/>
        </w:rPr>
        <w:t>整体</w:t>
      </w:r>
      <w:r>
        <w:rPr>
          <w:rFonts w:hint="eastAsia" w:ascii="华文仿宋" w:hAnsi="华文仿宋" w:eastAsia="华文仿宋" w:cs="华文仿宋"/>
          <w:b w:val="0"/>
          <w:i w:val="0"/>
          <w:caps w:val="0"/>
          <w:color w:val="333333"/>
          <w:spacing w:val="0"/>
          <w:sz w:val="30"/>
          <w:szCs w:val="30"/>
          <w:shd w:val="clear" w:fill="FFFFFF"/>
        </w:rPr>
        <w:t>资金开展绩效自评的要求，我</w:t>
      </w:r>
      <w:r>
        <w:rPr>
          <w:rFonts w:hint="eastAsia" w:ascii="华文仿宋" w:hAnsi="华文仿宋" w:eastAsia="华文仿宋" w:cs="华文仿宋"/>
          <w:b w:val="0"/>
          <w:i w:val="0"/>
          <w:caps w:val="0"/>
          <w:color w:val="333333"/>
          <w:spacing w:val="0"/>
          <w:sz w:val="30"/>
          <w:szCs w:val="30"/>
          <w:shd w:val="clear" w:fill="FFFFFF"/>
          <w:lang w:val="en-US" w:eastAsia="zh-CN"/>
        </w:rPr>
        <w:t>站</w:t>
      </w:r>
      <w:r>
        <w:rPr>
          <w:rFonts w:hint="eastAsia" w:ascii="华文仿宋" w:hAnsi="华文仿宋" w:eastAsia="华文仿宋" w:cs="华文仿宋"/>
          <w:b w:val="0"/>
          <w:i w:val="0"/>
          <w:caps w:val="0"/>
          <w:color w:val="333333"/>
          <w:spacing w:val="0"/>
          <w:sz w:val="30"/>
          <w:szCs w:val="30"/>
          <w:shd w:val="clear" w:fill="FFFFFF"/>
        </w:rPr>
        <w:t>对20</w:t>
      </w:r>
      <w:r>
        <w:rPr>
          <w:rFonts w:hint="eastAsia" w:ascii="华文仿宋" w:hAnsi="华文仿宋" w:eastAsia="华文仿宋" w:cs="华文仿宋"/>
          <w:b w:val="0"/>
          <w:i w:val="0"/>
          <w:caps w:val="0"/>
          <w:color w:val="333333"/>
          <w:spacing w:val="0"/>
          <w:sz w:val="30"/>
          <w:szCs w:val="30"/>
          <w:shd w:val="clear" w:fill="FFFFFF"/>
          <w:lang w:val="en-US" w:eastAsia="zh-CN"/>
        </w:rPr>
        <w:t>21</w:t>
      </w:r>
      <w:r>
        <w:rPr>
          <w:rFonts w:hint="eastAsia" w:ascii="华文仿宋" w:hAnsi="华文仿宋" w:eastAsia="华文仿宋" w:cs="华文仿宋"/>
          <w:b w:val="0"/>
          <w:i w:val="0"/>
          <w:caps w:val="0"/>
          <w:color w:val="333333"/>
          <w:spacing w:val="0"/>
          <w:sz w:val="30"/>
          <w:szCs w:val="30"/>
          <w:shd w:val="clear" w:fill="FFFFFF"/>
        </w:rPr>
        <w:t>年资金开展绩效评价，进行了自评，现将自评情况报告如下</w:t>
      </w:r>
      <w:r>
        <w:rPr>
          <w:rFonts w:hint="eastAsia" w:ascii="华文仿宋" w:hAnsi="华文仿宋" w:eastAsia="华文仿宋" w:cs="华文仿宋"/>
          <w:b w:val="0"/>
          <w:i w:val="0"/>
          <w:caps w:val="0"/>
          <w:color w:val="333333"/>
          <w:spacing w:val="0"/>
          <w:sz w:val="30"/>
          <w:szCs w:val="30"/>
          <w:shd w:val="clear" w:fill="FFFFFF"/>
          <w:lang w:eastAsia="zh-CN"/>
        </w:rPr>
        <w:t>：</w:t>
      </w:r>
    </w:p>
    <w:p>
      <w:pPr>
        <w:spacing w:line="500" w:lineRule="exact"/>
        <w:ind w:firstLine="640" w:firstLineChars="200"/>
        <w:rPr>
          <w:rFonts w:hint="eastAsia" w:ascii="黑体" w:eastAsia="黑体"/>
          <w:sz w:val="32"/>
          <w:szCs w:val="32"/>
        </w:rPr>
      </w:pPr>
      <w:r>
        <w:rPr>
          <w:rFonts w:hint="eastAsia" w:ascii="黑体" w:eastAsia="黑体"/>
          <w:sz w:val="32"/>
          <w:szCs w:val="32"/>
        </w:rPr>
        <w:t>一、部门基本情况</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（一）机构设置情况。</w:t>
      </w:r>
    </w:p>
    <w:p>
      <w:pPr>
        <w:spacing w:line="50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本单位设有办公室、财务室、血防科、医疗业务科、后勤科等。</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（二）人员情况。</w:t>
      </w:r>
    </w:p>
    <w:p>
      <w:pPr>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现有职工</w:t>
      </w:r>
      <w:r>
        <w:rPr>
          <w:rFonts w:hint="eastAsia" w:ascii="仿宋_GB2312" w:eastAsia="仿宋_GB2312"/>
          <w:sz w:val="32"/>
          <w:szCs w:val="32"/>
          <w:lang w:val="en-US" w:eastAsia="zh-CN"/>
        </w:rPr>
        <w:t>13人，其中卫生技术人员10人。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（三）主要工作职责。</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1.开展本辖区内血吸虫病中长期各项防治工作；</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2.配合其他部门单位实施血吸虫病综合治理工作；</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3.收集整理统计汇总恪保管防治信息资料，及时上报主管部门。</w:t>
      </w:r>
    </w:p>
    <w:p>
      <w:pPr>
        <w:spacing w:line="500" w:lineRule="exact"/>
        <w:ind w:firstLine="640" w:firstLineChars="200"/>
        <w:rPr>
          <w:rFonts w:hint="eastAsia" w:ascii="黑体" w:eastAsia="黑体"/>
          <w:sz w:val="32"/>
          <w:szCs w:val="32"/>
        </w:rPr>
      </w:pPr>
      <w:r>
        <w:rPr>
          <w:rFonts w:hint="eastAsia" w:ascii="黑体" w:eastAsia="黑体"/>
          <w:sz w:val="32"/>
          <w:szCs w:val="32"/>
        </w:rPr>
        <w:t>二、部门整体支出管理及使用情况</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（一）基本支出的管理和使用情况</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2021 年度收入总计 209.82 万元，与上年相比减少 12.17 万元，下降 5.48%。主要是一般公共财政拨款下降。</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2021 年度支出总计 209.82 万元，与上年相比减少 12.17 万元，下降 5.48%。主要是基本支出、项目支出各项支出均减少。</w:t>
      </w:r>
    </w:p>
    <w:p>
      <w:pPr>
        <w:keepNext w:val="0"/>
        <w:keepLines w:val="0"/>
        <w:widowControl/>
        <w:numPr>
          <w:ilvl w:val="0"/>
          <w:numId w:val="1"/>
        </w:numPr>
        <w:suppressLineNumbers w:val="0"/>
        <w:jc w:val="left"/>
        <w:rPr>
          <w:rFonts w:ascii="仿宋" w:hAnsi="仿宋" w:eastAsia="仿宋" w:cs="仿宋"/>
          <w:b/>
          <w:bCs/>
          <w:color w:val="000000"/>
          <w:kern w:val="0"/>
          <w:sz w:val="32"/>
          <w:szCs w:val="32"/>
          <w:lang w:val="en-US" w:eastAsia="zh-CN" w:bidi="ar"/>
        </w:rPr>
      </w:pPr>
      <w:r>
        <w:rPr>
          <w:rFonts w:ascii="仿宋" w:hAnsi="仿宋" w:eastAsia="仿宋" w:cs="仿宋"/>
          <w:b/>
          <w:bCs/>
          <w:color w:val="000000"/>
          <w:kern w:val="0"/>
          <w:sz w:val="32"/>
          <w:szCs w:val="32"/>
          <w:lang w:val="en-US" w:eastAsia="zh-CN" w:bidi="ar"/>
        </w:rPr>
        <w:t xml:space="preserve">收入决算情况说明 </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本年收入合计 209.82 万元，其中：财政拨款收入 138.05 万元，占 65.79%。事业收入 71.77 万元，占 34.21%。</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本年支出合计 209.82 万元，其中：基本支出 137.36 万元，占65.47%。项目支出 72.46 万元，占 34.53%。</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2021 年度财政拨款收入总计 138.05 万元，与上年相比，减少14.35 万元，下降 9.42%。主要是血控站的人员公用经费和血防专项拨款均减少。</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2021 年度财政拨款支出总计 138.05 万元，与上年相比，减少14.35 万元，下降 9.42%。主要是财政拨款收入减少，相应的财政拨款支出减少。</w:t>
      </w:r>
    </w:p>
    <w:p>
      <w:pPr>
        <w:keepNext w:val="0"/>
        <w:keepLines w:val="0"/>
        <w:widowControl/>
        <w:suppressLineNumbers w:val="0"/>
        <w:jc w:val="left"/>
      </w:pPr>
      <w:r>
        <w:rPr>
          <w:rFonts w:ascii="仿宋" w:hAnsi="仿宋" w:eastAsia="仿宋" w:cs="仿宋"/>
          <w:color w:val="000000"/>
          <w:kern w:val="0"/>
          <w:sz w:val="32"/>
          <w:szCs w:val="32"/>
          <w:lang w:val="en-US" w:eastAsia="zh-CN" w:bidi="ar"/>
        </w:rPr>
        <w:t>2021 年度财政拨款支出年初预算数为 138.05 万元，支出决算数</w:t>
      </w:r>
      <w:bookmarkStart w:id="0" w:name="_GoBack"/>
      <w:bookmarkEnd w:id="0"/>
      <w:r>
        <w:rPr>
          <w:rFonts w:hint="eastAsia" w:ascii="仿宋" w:hAnsi="仿宋" w:eastAsia="仿宋" w:cs="仿宋"/>
          <w:color w:val="000000"/>
          <w:kern w:val="0"/>
          <w:sz w:val="32"/>
          <w:szCs w:val="32"/>
          <w:lang w:val="en-US" w:eastAsia="zh-CN" w:bidi="ar"/>
        </w:rPr>
        <w:t xml:space="preserve">为 138.05 万元，完成年初预算的 100.00%，其中：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1、卫生健康支出（类）卫生健康管理事务（款）行政运行（项）。年初预算为 10.93 万元，支出决算为 10.93 万元，完成年初预算的 100%。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2、卫生健康支出（类）卫生健康管理事务（款）一般行政管理事务（项）。年初预算为 9 万元，支出决算为 9 万元，完成年初预算的 100%。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3、卫生健康支出（类）公共卫生（款）疾病预防控制机构（项）。年初预算为 54.66 万元，支出决算为 54.66 万元，完成年初预算的 100%。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4、卫生健康支出（类）公共卫生（款）重大公共卫生服务（项）。年初预算为 63.46 万元，支出决算为 63.46 万元，完成年初预算的 100%。</w:t>
      </w:r>
      <w:r>
        <w:rPr>
          <w:rFonts w:ascii="仿宋" w:hAnsi="仿宋" w:eastAsia="仿宋" w:cs="仿宋"/>
          <w:color w:val="000000"/>
          <w:kern w:val="0"/>
          <w:sz w:val="32"/>
          <w:szCs w:val="32"/>
          <w:lang w:val="en-US" w:eastAsia="zh-CN" w:bidi="ar"/>
        </w:rPr>
        <w:t xml:space="preserve">2021 年度财政拨款基本支出 65.59 万元，其中：人员经费 54.66 </w:t>
      </w:r>
      <w:r>
        <w:rPr>
          <w:rFonts w:hint="eastAsia" w:ascii="仿宋" w:hAnsi="仿宋" w:eastAsia="仿宋" w:cs="仿宋"/>
          <w:color w:val="000000"/>
          <w:kern w:val="0"/>
          <w:sz w:val="32"/>
          <w:szCs w:val="32"/>
          <w:lang w:val="en-US" w:eastAsia="zh-CN" w:bidi="ar"/>
        </w:rPr>
        <w:t xml:space="preserve">万元，占基本支出的 83.34%，主要包括：基本工资、津贴补贴、奖金、伙食补助费、机关事业单位基本养老保险缴费、职业年金缴费、职工基本医疗保险缴费、其他社会保障缴费、住房公积金、退休费、抚恤金、生活补助、救济费、奖励金、其他对个人和家庭的补助；公用经费 10.93 万元，占基本支出的 16.66%，主要包括：办公费、印刷费、咨询费、水费、电费、邮电费、物业管理费、差旅费、维修（护）费、会议费、培训费、公务接待费、劳务费、委托业务费、工会经费、福利费、公务用车运行维护费、其他商品和服务支出。 </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numPr>
          <w:ilvl w:val="0"/>
          <w:numId w:val="1"/>
        </w:numPr>
        <w:suppressLineNumbers w:val="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存在问题</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对过往一年来的工作进行回顾与总结，虽然完成了上级安排的各项工作，取得了一些成绩，自身各方面能力有了更进一步提高，但仍有不足之处：在编制部门年度预算时，虽然根据本单位职能职责和年度工作计划，但在2021年部门预算执行过程中，由于上级交办统计调查监测任务的突发性，一些无法预计和列入年初预算的项目支出，需要在年度中间进行预算追加和调整。</w:t>
      </w:r>
    </w:p>
    <w:p>
      <w:pPr>
        <w:keepNext w:val="0"/>
        <w:keepLines w:val="0"/>
        <w:widowControl/>
        <w:numPr>
          <w:ilvl w:val="0"/>
          <w:numId w:val="1"/>
        </w:numPr>
        <w:suppressLineNumbers w:val="0"/>
        <w:jc w:val="left"/>
        <w:rPr>
          <w:rFonts w:hint="eastAsia"/>
          <w:b/>
          <w:bCs/>
          <w:sz w:val="32"/>
          <w:szCs w:val="32"/>
          <w:lang w:val="en-US" w:eastAsia="zh-CN"/>
        </w:rPr>
      </w:pPr>
      <w:r>
        <w:rPr>
          <w:rFonts w:hint="eastAsia"/>
          <w:b/>
          <w:bCs/>
          <w:sz w:val="32"/>
          <w:szCs w:val="32"/>
          <w:lang w:val="en-US" w:eastAsia="zh-CN"/>
        </w:rPr>
        <w:t>下一步工作思路</w:t>
      </w:r>
    </w:p>
    <w:p>
      <w:pPr>
        <w:numPr>
          <w:ilvl w:val="0"/>
          <w:numId w:val="0"/>
        </w:num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（一）科学合理编制预算，严格执行预算</w:t>
      </w:r>
    </w:p>
    <w:p>
      <w:pPr>
        <w:numPr>
          <w:ilvl w:val="0"/>
          <w:numId w:val="0"/>
        </w:num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加强预算编制的前瞻性，按照《预算法》及其实施条例的相关规定，按政策规定及本部门的发展规划，结合上一年度预算执行情况和本年度预算收支变化因素，科学、合理地编制年度预算草案，避免项目支出与基本支出划分不准或预算支出与实际执行出现较大偏差的情况，执行中确需调剂预算的，按规定程序报经批准。</w:t>
      </w:r>
    </w:p>
    <w:p>
      <w:pPr>
        <w:numPr>
          <w:ilvl w:val="0"/>
          <w:numId w:val="0"/>
        </w:num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（二）规范账务处理，提高财务信息质量</w:t>
      </w:r>
    </w:p>
    <w:p>
      <w:pPr>
        <w:numPr>
          <w:ilvl w:val="0"/>
          <w:numId w:val="0"/>
        </w:num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严格按照《会计法》、《行政单位会计制度》、《行政单位财务规则》等规定，结合实际情况，科学设置支出科目，规范财务核算，完整披露相关信息。</w:t>
      </w:r>
    </w:p>
    <w:p>
      <w:pPr>
        <w:numPr>
          <w:ilvl w:val="0"/>
          <w:numId w:val="0"/>
        </w:numPr>
        <w:ind w:firstLine="640" w:firstLineChars="200"/>
        <w:jc w:val="righ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沅江市胭脂湖血吸虫病预防控制站</w:t>
      </w:r>
    </w:p>
    <w:p>
      <w:pPr>
        <w:numPr>
          <w:ilvl w:val="0"/>
          <w:numId w:val="0"/>
        </w:numPr>
        <w:wordWrap w:val="0"/>
        <w:ind w:firstLine="640" w:firstLineChars="200"/>
        <w:jc w:val="right"/>
        <w:rPr>
          <w:rFonts w:hint="eastAsia" w:ascii="华文楷体" w:hAnsi="华文楷体" w:eastAsia="华文楷体" w:cs="华文楷体"/>
          <w:b w:val="0"/>
          <w:bCs w:val="0"/>
          <w:sz w:val="30"/>
          <w:szCs w:val="30"/>
          <w:lang w:val="en-US" w:eastAsia="zh-CN"/>
        </w:rPr>
      </w:pPr>
      <w:r>
        <w:rPr>
          <w:rFonts w:hint="eastAsia" w:ascii="仿宋" w:hAnsi="仿宋" w:eastAsia="仿宋" w:cs="仿宋"/>
          <w:color w:val="000000"/>
          <w:kern w:val="0"/>
          <w:sz w:val="32"/>
          <w:szCs w:val="32"/>
          <w:lang w:val="en-US" w:eastAsia="zh-CN" w:bidi="ar"/>
        </w:rPr>
        <w:t xml:space="preserve">2023年5月23日 </w:t>
      </w:r>
    </w:p>
    <w:p>
      <w:pPr>
        <w:numPr>
          <w:ilvl w:val="0"/>
          <w:numId w:val="0"/>
        </w:numPr>
        <w:rPr>
          <w:rFonts w:hint="eastAsia" w:ascii="华文楷体" w:hAnsi="华文楷体" w:eastAsia="华文楷体" w:cs="华文楷体"/>
          <w:b w:val="0"/>
          <w:bCs w:val="0"/>
          <w:sz w:val="30"/>
          <w:szCs w:val="30"/>
          <w:u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8ABCB"/>
    <w:multiLevelType w:val="singleLevel"/>
    <w:tmpl w:val="B648AB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GRlMmI0NDk1NTk4NTEwM2NiYmUzMWJhMmQwY2YifQ=="/>
  </w:docVars>
  <w:rsids>
    <w:rsidRoot w:val="26113BF4"/>
    <w:rsid w:val="003704B4"/>
    <w:rsid w:val="00D27474"/>
    <w:rsid w:val="00E96304"/>
    <w:rsid w:val="01673D87"/>
    <w:rsid w:val="03516446"/>
    <w:rsid w:val="04620034"/>
    <w:rsid w:val="059C04D3"/>
    <w:rsid w:val="08A46479"/>
    <w:rsid w:val="09173EE8"/>
    <w:rsid w:val="0B754EF6"/>
    <w:rsid w:val="0CDD41B3"/>
    <w:rsid w:val="0ED96F87"/>
    <w:rsid w:val="13703523"/>
    <w:rsid w:val="15826B8D"/>
    <w:rsid w:val="158D151C"/>
    <w:rsid w:val="166125D0"/>
    <w:rsid w:val="17D645EF"/>
    <w:rsid w:val="1D2066D4"/>
    <w:rsid w:val="1DA57F9C"/>
    <w:rsid w:val="1EF44211"/>
    <w:rsid w:val="1F2C5185"/>
    <w:rsid w:val="2325478B"/>
    <w:rsid w:val="23352CAD"/>
    <w:rsid w:val="23E45646"/>
    <w:rsid w:val="25807504"/>
    <w:rsid w:val="26113BF4"/>
    <w:rsid w:val="261D0BA9"/>
    <w:rsid w:val="281F026C"/>
    <w:rsid w:val="2966709C"/>
    <w:rsid w:val="29695EB7"/>
    <w:rsid w:val="2A387627"/>
    <w:rsid w:val="2B473BCD"/>
    <w:rsid w:val="2F3E56D2"/>
    <w:rsid w:val="2F714AC8"/>
    <w:rsid w:val="2FBF7A81"/>
    <w:rsid w:val="32C13D0C"/>
    <w:rsid w:val="336D04E5"/>
    <w:rsid w:val="33755B7B"/>
    <w:rsid w:val="35BE51DC"/>
    <w:rsid w:val="36CF348B"/>
    <w:rsid w:val="372663E3"/>
    <w:rsid w:val="3730534F"/>
    <w:rsid w:val="38CD7737"/>
    <w:rsid w:val="39355029"/>
    <w:rsid w:val="397A7168"/>
    <w:rsid w:val="3B822B94"/>
    <w:rsid w:val="3BE3142E"/>
    <w:rsid w:val="3C137ED4"/>
    <w:rsid w:val="43727992"/>
    <w:rsid w:val="476C3762"/>
    <w:rsid w:val="4AAF1302"/>
    <w:rsid w:val="4B244232"/>
    <w:rsid w:val="4BA00E4D"/>
    <w:rsid w:val="4DFA102E"/>
    <w:rsid w:val="4EC217CD"/>
    <w:rsid w:val="4F4641AC"/>
    <w:rsid w:val="50570D4C"/>
    <w:rsid w:val="53434860"/>
    <w:rsid w:val="58CC5B5F"/>
    <w:rsid w:val="5A57775F"/>
    <w:rsid w:val="5AA70BBC"/>
    <w:rsid w:val="5B6065F6"/>
    <w:rsid w:val="5BA45563"/>
    <w:rsid w:val="5CDA173B"/>
    <w:rsid w:val="5F9808A5"/>
    <w:rsid w:val="6032613D"/>
    <w:rsid w:val="616211BB"/>
    <w:rsid w:val="64177A6E"/>
    <w:rsid w:val="665A426A"/>
    <w:rsid w:val="67423E4D"/>
    <w:rsid w:val="674B3752"/>
    <w:rsid w:val="67EE4862"/>
    <w:rsid w:val="68467012"/>
    <w:rsid w:val="688B5490"/>
    <w:rsid w:val="68DB4B77"/>
    <w:rsid w:val="69CF1AF9"/>
    <w:rsid w:val="6A245216"/>
    <w:rsid w:val="6F720FA8"/>
    <w:rsid w:val="717F3ECA"/>
    <w:rsid w:val="71EF7A13"/>
    <w:rsid w:val="73B557DF"/>
    <w:rsid w:val="760F3A72"/>
    <w:rsid w:val="76445FA5"/>
    <w:rsid w:val="76F17F0B"/>
    <w:rsid w:val="784C233F"/>
    <w:rsid w:val="7BC57958"/>
    <w:rsid w:val="7BFC1EAC"/>
    <w:rsid w:val="7CF245EA"/>
    <w:rsid w:val="7ED10E5C"/>
    <w:rsid w:val="7F747691"/>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19"/>
    <w:basedOn w:val="5"/>
    <w:qFormat/>
    <w:uiPriority w:val="0"/>
    <w:rPr>
      <w:rFonts w:hint="eastAsia" w:ascii="Times New Roman" w:eastAsia="楷体_GB2312" w:cs="楷体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1542</Words>
  <Characters>1752</Characters>
  <Lines>0</Lines>
  <Paragraphs>0</Paragraphs>
  <TotalTime>13</TotalTime>
  <ScaleCrop>false</ScaleCrop>
  <LinksUpToDate>false</LinksUpToDate>
  <CharactersWithSpaces>1832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2020-05-23T00:12:00Z</dcterms:created>
  <dc:creator>泗血陈彩花</dc:creator>
  <cp:lastModifiedBy>沐风</cp:lastModifiedBy>
  <dcterms:modified xsi:type="dcterms:W3CDTF">2023-05-23T09:56:50Z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6DA35D592F444E77BC28978DEE00F726</vt:lpwstr>
  </property>
</Properties>
</file>