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黑体"/>
          <w:sz w:val="32"/>
          <w:szCs w:val="32"/>
        </w:rPr>
      </w:pPr>
      <w:r>
        <w:rPr>
          <w:rFonts w:hint="eastAsia" w:eastAsia="黑体"/>
          <w:sz w:val="32"/>
          <w:szCs w:val="32"/>
        </w:rPr>
        <w:t>附件</w:t>
      </w:r>
      <w:r>
        <w:rPr>
          <w:rFonts w:eastAsia="黑体"/>
          <w:sz w:val="32"/>
          <w:szCs w:val="32"/>
        </w:rPr>
        <w:t>4</w:t>
      </w:r>
    </w:p>
    <w:p>
      <w:pPr>
        <w:widowControl/>
        <w:spacing w:line="600" w:lineRule="exact"/>
        <w:jc w:val="left"/>
        <w:rPr>
          <w:rFonts w:eastAsia="黑体"/>
          <w:sz w:val="32"/>
          <w:szCs w:val="32"/>
        </w:rPr>
      </w:pPr>
    </w:p>
    <w:p>
      <w:pPr>
        <w:spacing w:line="550" w:lineRule="exact"/>
        <w:jc w:val="center"/>
        <w:rPr>
          <w:rFonts w:eastAsia="方正小标宋简体"/>
          <w:sz w:val="44"/>
          <w:szCs w:val="44"/>
        </w:rPr>
      </w:pPr>
      <w:r>
        <w:rPr>
          <w:rFonts w:eastAsia="方正小标宋简体"/>
          <w:sz w:val="44"/>
          <w:szCs w:val="44"/>
        </w:rPr>
        <w:t>2020</w:t>
      </w:r>
      <w:r>
        <w:rPr>
          <w:rFonts w:hint="eastAsia" w:eastAsia="方正小标宋简体"/>
          <w:sz w:val="44"/>
          <w:szCs w:val="44"/>
        </w:rPr>
        <w:t>年沅江市省级教育综合发展专项资金   绩效自评报告</w:t>
      </w:r>
    </w:p>
    <w:p>
      <w:pPr>
        <w:spacing w:line="550" w:lineRule="exact"/>
        <w:ind w:firstLine="640" w:firstLineChars="200"/>
        <w:rPr>
          <w:rFonts w:eastAsia="黑体"/>
          <w:sz w:val="32"/>
          <w:szCs w:val="32"/>
        </w:rPr>
      </w:pPr>
    </w:p>
    <w:p>
      <w:pPr>
        <w:spacing w:line="550" w:lineRule="exact"/>
        <w:ind w:firstLine="640" w:firstLineChars="200"/>
        <w:rPr>
          <w:rFonts w:eastAsia="黑体"/>
          <w:sz w:val="32"/>
          <w:szCs w:val="32"/>
        </w:rPr>
      </w:pPr>
      <w:r>
        <w:rPr>
          <w:rFonts w:hint="eastAsia" w:eastAsia="黑体"/>
          <w:sz w:val="32"/>
          <w:szCs w:val="32"/>
        </w:rPr>
        <w:t>一、专项资金项目概况</w:t>
      </w:r>
    </w:p>
    <w:p>
      <w:pPr>
        <w:adjustRightInd w:val="0"/>
        <w:snapToGrid w:val="0"/>
        <w:spacing w:line="600" w:lineRule="exact"/>
        <w:rPr>
          <w:rFonts w:eastAsia="仿宋_GB2312"/>
          <w:sz w:val="32"/>
          <w:szCs w:val="32"/>
        </w:rPr>
      </w:pPr>
      <w:r>
        <w:rPr>
          <w:rFonts w:hint="eastAsia" w:eastAsia="仿宋_GB2312"/>
          <w:sz w:val="32"/>
          <w:szCs w:val="32"/>
        </w:rPr>
        <w:t>（一）专项资金项目基本情况。包括专项资金基本性质、用途和主要内容、涉及范围等。</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2206"/>
        <w:gridCol w:w="2118"/>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项目内容</w:t>
            </w:r>
          </w:p>
        </w:tc>
        <w:tc>
          <w:tcPr>
            <w:tcW w:w="2206"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上级指标文号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金额（万元）</w:t>
            </w:r>
          </w:p>
        </w:tc>
        <w:tc>
          <w:tcPr>
            <w:tcW w:w="2074"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分配单位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第一批教育综合发展专项（民办教育）</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湘财教指【2020】41号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22</w:t>
            </w:r>
          </w:p>
        </w:tc>
        <w:tc>
          <w:tcPr>
            <w:tcW w:w="2074" w:type="dxa"/>
          </w:tcPr>
          <w:p>
            <w:pPr>
              <w:adjustRightInd w:val="0"/>
              <w:snapToGrid w:val="0"/>
              <w:spacing w:line="600" w:lineRule="exact"/>
              <w:rPr>
                <w:rFonts w:eastAsia="仿宋_GB2312"/>
                <w:kern w:val="0"/>
                <w:sz w:val="32"/>
                <w:szCs w:val="32"/>
              </w:rPr>
            </w:pPr>
            <w:r>
              <w:rPr>
                <w:rFonts w:hint="eastAsia" w:eastAsia="仿宋_GB2312"/>
                <w:kern w:val="0"/>
                <w:sz w:val="32"/>
                <w:szCs w:val="32"/>
              </w:rPr>
              <w:t>东方壹号学校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第二批教育综合发展专项（教育信息化和平安校园建设）</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湘财教指【2020】43号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45</w:t>
            </w:r>
          </w:p>
        </w:tc>
        <w:tc>
          <w:tcPr>
            <w:tcW w:w="2074" w:type="dxa"/>
          </w:tcPr>
          <w:p>
            <w:pPr>
              <w:adjustRightInd w:val="0"/>
              <w:snapToGrid w:val="0"/>
              <w:spacing w:line="600" w:lineRule="exact"/>
              <w:rPr>
                <w:rFonts w:eastAsia="仿宋_GB2312"/>
                <w:kern w:val="0"/>
                <w:sz w:val="32"/>
                <w:szCs w:val="32"/>
              </w:rPr>
            </w:pPr>
            <w:r>
              <w:rPr>
                <w:rFonts w:hint="eastAsia" w:eastAsia="仿宋_GB2312"/>
                <w:kern w:val="0"/>
                <w:sz w:val="32"/>
                <w:szCs w:val="32"/>
              </w:rPr>
              <w:t>8所学校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第三批教育综合发展专项（校园足球、体卫艺及国防教育）</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湘财教指【2020】45号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69</w:t>
            </w:r>
          </w:p>
        </w:tc>
        <w:tc>
          <w:tcPr>
            <w:tcW w:w="2074" w:type="dxa"/>
          </w:tcPr>
          <w:p>
            <w:pPr>
              <w:adjustRightInd w:val="0"/>
              <w:snapToGrid w:val="0"/>
              <w:spacing w:line="600" w:lineRule="exact"/>
              <w:rPr>
                <w:rFonts w:eastAsia="仿宋_GB2312"/>
                <w:kern w:val="0"/>
                <w:sz w:val="32"/>
                <w:szCs w:val="32"/>
              </w:rPr>
            </w:pPr>
            <w:r>
              <w:rPr>
                <w:rFonts w:hint="eastAsia" w:eastAsia="仿宋_GB2312"/>
                <w:kern w:val="0"/>
                <w:sz w:val="32"/>
                <w:szCs w:val="32"/>
              </w:rPr>
              <w:t>体卫艺股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第四批教育综合发展专项（教育规划课题）</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湘财教指【2020】48号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1</w:t>
            </w:r>
          </w:p>
        </w:tc>
        <w:tc>
          <w:tcPr>
            <w:tcW w:w="2074" w:type="dxa"/>
          </w:tcPr>
          <w:p>
            <w:pPr>
              <w:adjustRightInd w:val="0"/>
              <w:snapToGrid w:val="0"/>
              <w:spacing w:line="600" w:lineRule="exact"/>
              <w:rPr>
                <w:rFonts w:eastAsia="仿宋_GB2312"/>
                <w:kern w:val="0"/>
                <w:sz w:val="32"/>
                <w:szCs w:val="32"/>
              </w:rPr>
            </w:pPr>
            <w:r>
              <w:rPr>
                <w:rFonts w:hint="eastAsia" w:eastAsia="仿宋_GB2312"/>
                <w:kern w:val="0"/>
                <w:sz w:val="32"/>
                <w:szCs w:val="32"/>
              </w:rPr>
              <w:t>玉潭学校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第五批教育综合发展专项（省级老师培训）</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湘财教指【2020】47号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10</w:t>
            </w:r>
          </w:p>
        </w:tc>
        <w:tc>
          <w:tcPr>
            <w:tcW w:w="2074" w:type="dxa"/>
          </w:tcPr>
          <w:p>
            <w:pPr>
              <w:adjustRightInd w:val="0"/>
              <w:snapToGrid w:val="0"/>
              <w:spacing w:line="600" w:lineRule="exact"/>
              <w:rPr>
                <w:rFonts w:eastAsia="仿宋_GB2312"/>
                <w:kern w:val="0"/>
                <w:sz w:val="32"/>
                <w:szCs w:val="32"/>
              </w:rPr>
            </w:pPr>
            <w:r>
              <w:rPr>
                <w:rFonts w:hint="eastAsia" w:eastAsia="仿宋_GB2312"/>
                <w:kern w:val="0"/>
                <w:sz w:val="32"/>
                <w:szCs w:val="32"/>
              </w:rPr>
              <w:t>胭脂湖中小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合计</w:t>
            </w:r>
          </w:p>
        </w:tc>
        <w:tc>
          <w:tcPr>
            <w:tcW w:w="2206" w:type="dxa"/>
          </w:tcPr>
          <w:p>
            <w:pPr>
              <w:adjustRightInd w:val="0"/>
              <w:snapToGrid w:val="0"/>
              <w:spacing w:line="600" w:lineRule="exact"/>
              <w:rPr>
                <w:rFonts w:eastAsia="仿宋_GB2312"/>
                <w:kern w:val="0"/>
                <w:sz w:val="32"/>
                <w:szCs w:val="32"/>
              </w:rPr>
            </w:pP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147</w:t>
            </w:r>
          </w:p>
        </w:tc>
        <w:tc>
          <w:tcPr>
            <w:tcW w:w="2074" w:type="dxa"/>
          </w:tcPr>
          <w:p>
            <w:pPr>
              <w:adjustRightInd w:val="0"/>
              <w:snapToGrid w:val="0"/>
              <w:spacing w:line="600" w:lineRule="exact"/>
              <w:rPr>
                <w:rFonts w:eastAsia="仿宋_GB2312"/>
                <w:kern w:val="0"/>
                <w:sz w:val="32"/>
                <w:szCs w:val="32"/>
              </w:rPr>
            </w:pPr>
          </w:p>
        </w:tc>
      </w:tr>
    </w:tbl>
    <w:p>
      <w:pPr>
        <w:adjustRightInd w:val="0"/>
        <w:snapToGrid w:val="0"/>
        <w:spacing w:line="600" w:lineRule="exact"/>
        <w:ind w:firstLine="320" w:firstLineChars="100"/>
        <w:rPr>
          <w:rFonts w:eastAsia="仿宋_GB2312"/>
          <w:sz w:val="32"/>
          <w:szCs w:val="32"/>
        </w:rPr>
      </w:pPr>
      <w:r>
        <w:rPr>
          <w:rFonts w:hint="eastAsia" w:eastAsia="仿宋_GB2312"/>
          <w:sz w:val="32"/>
          <w:szCs w:val="32"/>
        </w:rPr>
        <w:t>（二）专项资金项目绩效目标。包括总体目标和年度目标。</w:t>
      </w:r>
    </w:p>
    <w:p>
      <w:pPr>
        <w:adjustRightInd w:val="0"/>
        <w:snapToGrid w:val="0"/>
        <w:spacing w:line="600" w:lineRule="exact"/>
        <w:ind w:firstLine="320" w:firstLineChars="100"/>
        <w:rPr>
          <w:rFonts w:eastAsia="仿宋_GB2312"/>
          <w:sz w:val="32"/>
          <w:szCs w:val="32"/>
        </w:rPr>
      </w:pPr>
      <w:r>
        <w:rPr>
          <w:rFonts w:hint="eastAsia" w:eastAsia="仿宋_GB2312"/>
          <w:sz w:val="32"/>
          <w:szCs w:val="32"/>
        </w:rPr>
        <w:t>1、发展民办教育，能促进教育多元化，让学生拥有更多的选择空间。</w:t>
      </w:r>
    </w:p>
    <w:p>
      <w:pPr>
        <w:adjustRightInd w:val="0"/>
        <w:snapToGrid w:val="0"/>
        <w:spacing w:line="600" w:lineRule="exact"/>
        <w:ind w:firstLine="320" w:firstLineChars="100"/>
        <w:rPr>
          <w:rFonts w:eastAsia="仿宋_GB2312"/>
          <w:sz w:val="32"/>
          <w:szCs w:val="32"/>
        </w:rPr>
      </w:pPr>
      <w:r>
        <w:rPr>
          <w:rFonts w:eastAsia="仿宋_GB2312"/>
          <w:sz w:val="32"/>
          <w:szCs w:val="32"/>
        </w:rPr>
        <w:t>2</w:t>
      </w:r>
      <w:r>
        <w:rPr>
          <w:rFonts w:hint="eastAsia" w:eastAsia="仿宋_GB2312"/>
          <w:sz w:val="32"/>
          <w:szCs w:val="32"/>
        </w:rPr>
        <w:t>、通过信息系统提供学生身份识别、</w:t>
      </w:r>
      <w:r>
        <w:rPr>
          <w:rFonts w:eastAsia="仿宋_GB2312"/>
          <w:sz w:val="32"/>
          <w:szCs w:val="32"/>
        </w:rPr>
        <w:t>GPS</w:t>
      </w:r>
      <w:r>
        <w:rPr>
          <w:rFonts w:hint="eastAsia" w:eastAsia="仿宋_GB2312"/>
          <w:sz w:val="32"/>
          <w:szCs w:val="32"/>
        </w:rPr>
        <w:t>定位查询服务、电子围栏、远程监听、危险智能预警、</w:t>
      </w:r>
      <w:r>
        <w:rPr>
          <w:rFonts w:eastAsia="仿宋_GB2312"/>
          <w:sz w:val="32"/>
          <w:szCs w:val="32"/>
        </w:rPr>
        <w:t>SOS</w:t>
      </w:r>
      <w:r>
        <w:rPr>
          <w:rFonts w:hint="eastAsia" w:eastAsia="仿宋_GB2312"/>
          <w:sz w:val="32"/>
          <w:szCs w:val="32"/>
        </w:rPr>
        <w:t>紧急呼救及学生学籍管理、教学管理、信息管理、家校互动等多种服务，为中小学校、广大师生及家庭提供了全面的学生行为安全管理、校园信息化和教育综合信息服务的平台。</w:t>
      </w:r>
    </w:p>
    <w:p>
      <w:pPr>
        <w:adjustRightInd w:val="0"/>
        <w:snapToGrid w:val="0"/>
        <w:spacing w:line="600" w:lineRule="exact"/>
        <w:ind w:firstLine="320" w:firstLineChars="100"/>
        <w:rPr>
          <w:rFonts w:eastAsia="仿宋_GB2312"/>
          <w:sz w:val="32"/>
          <w:szCs w:val="32"/>
        </w:rPr>
      </w:pPr>
      <w:r>
        <w:rPr>
          <w:rFonts w:hint="eastAsia" w:eastAsia="仿宋_GB2312"/>
          <w:sz w:val="32"/>
          <w:szCs w:val="32"/>
        </w:rPr>
        <w:t>3、将足球（包括足球文化、足球技能、足球训练等）引入教学，以培养青少年的足球兴趣为重点，让学生的快乐足球中强身健体，锻炼意志品质，在发挥个人天赋的同时培养团队意识和顽强拼搏的精神。在洞庭湖血吸虫病疫区，通过宣传和教学让学生了解血吸虫病的危害，传播途径以及预防方法与措施。</w:t>
      </w:r>
    </w:p>
    <w:p>
      <w:pPr>
        <w:adjustRightInd w:val="0"/>
        <w:snapToGrid w:val="0"/>
        <w:spacing w:line="600" w:lineRule="exact"/>
        <w:ind w:firstLine="320" w:firstLineChars="100"/>
        <w:rPr>
          <w:rFonts w:eastAsia="仿宋_GB2312"/>
          <w:sz w:val="32"/>
          <w:szCs w:val="32"/>
        </w:rPr>
      </w:pPr>
      <w:r>
        <w:rPr>
          <w:rFonts w:hint="eastAsia" w:eastAsia="仿宋_GB2312"/>
          <w:sz w:val="32"/>
          <w:szCs w:val="32"/>
        </w:rPr>
        <w:t>4、以重大现实问题为主攻方向，坚持基础研究和应用研究并重，发挥全国教育科学规划课题的示范引导作用，推动教育科学为教育事业发展服务、为教育强国建设服务。</w:t>
      </w:r>
    </w:p>
    <w:p>
      <w:pPr>
        <w:adjustRightInd w:val="0"/>
        <w:snapToGrid w:val="0"/>
        <w:spacing w:line="600" w:lineRule="exact"/>
        <w:ind w:firstLine="320" w:firstLineChars="100"/>
        <w:rPr>
          <w:rFonts w:eastAsia="仿宋_GB2312"/>
          <w:sz w:val="32"/>
          <w:szCs w:val="32"/>
        </w:rPr>
      </w:pPr>
      <w:r>
        <w:rPr>
          <w:rFonts w:hint="eastAsia" w:eastAsia="仿宋_GB2312"/>
          <w:sz w:val="32"/>
          <w:szCs w:val="32"/>
        </w:rPr>
        <w:t>5、采取混合研修、送教下乡、专家指导、校本研修等方式，对我省乡村中小学幼儿园教师尤其是贫困地区教师进行专业化培训，完善乡村教师常态化培训体制机制。</w:t>
      </w:r>
    </w:p>
    <w:p>
      <w:pPr>
        <w:spacing w:line="550" w:lineRule="exact"/>
        <w:ind w:firstLine="800" w:firstLineChars="250"/>
        <w:rPr>
          <w:rFonts w:eastAsia="黑体"/>
          <w:sz w:val="32"/>
          <w:szCs w:val="32"/>
        </w:rPr>
      </w:pPr>
      <w:r>
        <w:rPr>
          <w:rFonts w:hint="eastAsia" w:eastAsia="黑体"/>
          <w:sz w:val="32"/>
          <w:szCs w:val="32"/>
        </w:rPr>
        <w:t>二、专项资金使用及管理情况</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（一）专项资金、本级配套财政资金以及其他自筹资金的安排落实、总投入等情况。</w:t>
      </w:r>
    </w:p>
    <w:p>
      <w:pPr>
        <w:spacing w:line="600" w:lineRule="exact"/>
        <w:ind w:firstLine="640" w:firstLineChars="200"/>
        <w:rPr>
          <w:rFonts w:eastAsia="仿宋_GB2312"/>
          <w:sz w:val="32"/>
          <w:szCs w:val="32"/>
        </w:rPr>
      </w:pPr>
      <w:r>
        <w:rPr>
          <w:rFonts w:eastAsia="仿宋_GB2312"/>
          <w:sz w:val="32"/>
          <w:szCs w:val="32"/>
        </w:rPr>
        <w:t>20</w:t>
      </w:r>
      <w:r>
        <w:rPr>
          <w:rFonts w:hint="eastAsia" w:eastAsia="仿宋_GB2312"/>
          <w:sz w:val="32"/>
          <w:szCs w:val="32"/>
        </w:rPr>
        <w:t>20年度省级基础教育发展专项资金147万元</w:t>
      </w:r>
      <w:r>
        <w:rPr>
          <w:rFonts w:eastAsia="仿宋_GB2312"/>
          <w:sz w:val="32"/>
          <w:szCs w:val="32"/>
        </w:rPr>
        <w:t> ，全部来自省财政。资金到位率100%</w:t>
      </w:r>
      <w:r>
        <w:rPr>
          <w:rFonts w:hint="eastAsia" w:eastAsia="仿宋_GB2312"/>
          <w:sz w:val="32"/>
          <w:szCs w:val="32"/>
        </w:rPr>
        <w:t>，分别按用款计划及时拨付。</w:t>
      </w:r>
    </w:p>
    <w:p>
      <w:pPr>
        <w:spacing w:line="550" w:lineRule="exact"/>
        <w:rPr>
          <w:rFonts w:eastAsia="仿宋_GB2312"/>
          <w:sz w:val="32"/>
          <w:szCs w:val="32"/>
        </w:rPr>
      </w:pPr>
      <w:r>
        <w:rPr>
          <w:rFonts w:hint="eastAsia" w:eastAsia="仿宋_GB2312"/>
          <w:sz w:val="32"/>
          <w:szCs w:val="32"/>
        </w:rPr>
        <w:t xml:space="preserve">    （二）专项资金实际使用情况。从资金支出的合理、合法和合规性等角度分析；如有资金违规使用、闲置等情况，应分析主客观原因。</w:t>
      </w:r>
    </w:p>
    <w:p>
      <w:pPr>
        <w:spacing w:line="600" w:lineRule="exact"/>
        <w:ind w:firstLine="800" w:firstLineChars="250"/>
        <w:rPr>
          <w:rFonts w:eastAsia="仿宋_GB2312"/>
          <w:sz w:val="32"/>
          <w:szCs w:val="32"/>
        </w:rPr>
      </w:pPr>
      <w:r>
        <w:rPr>
          <w:rFonts w:hint="eastAsia" w:eastAsia="仿宋_GB2312"/>
          <w:sz w:val="32"/>
          <w:szCs w:val="32"/>
        </w:rPr>
        <w:t>资金支出规范，资金支出与申报计划相符合，资金支出合理、合法、合规。无资金违规使用、闲置等情况</w:t>
      </w:r>
    </w:p>
    <w:p>
      <w:pPr>
        <w:adjustRightInd w:val="0"/>
        <w:snapToGrid w:val="0"/>
        <w:spacing w:line="600" w:lineRule="exact"/>
        <w:rPr>
          <w:rFonts w:ascii="仿宋" w:hAnsi="仿宋" w:eastAsia="仿宋"/>
          <w:sz w:val="32"/>
          <w:szCs w:val="32"/>
        </w:rPr>
      </w:pPr>
      <w:r>
        <w:rPr>
          <w:rFonts w:hint="eastAsia" w:eastAsia="仿宋_GB2312"/>
          <w:sz w:val="32"/>
          <w:szCs w:val="32"/>
        </w:rPr>
        <w:t xml:space="preserve">    </w:t>
      </w:r>
      <w:r>
        <w:rPr>
          <w:rFonts w:hint="eastAsia" w:ascii="仿宋" w:hAnsi="仿宋" w:eastAsia="仿宋"/>
          <w:sz w:val="32"/>
          <w:szCs w:val="32"/>
        </w:rPr>
        <w:t>（三）专项资金管理情况分析，主要包括管理制度、办法的制订及执行情况。</w:t>
      </w:r>
    </w:p>
    <w:p>
      <w:pPr>
        <w:spacing w:line="600" w:lineRule="exact"/>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我市根据省财政厅、省教育厅的工作指示精神，紧紧围绕教育专项资金这一中心任务，有计划有步骤地开展了一系列工作。</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省级教育专</w:t>
      </w:r>
      <w:r>
        <w:rPr>
          <w:rFonts w:ascii="仿宋" w:hAnsi="仿宋" w:eastAsia="仿宋"/>
          <w:sz w:val="32"/>
          <w:szCs w:val="32"/>
        </w:rPr>
        <w:t>项，</w:t>
      </w:r>
      <w:r>
        <w:rPr>
          <w:rFonts w:hint="eastAsia" w:ascii="仿宋" w:hAnsi="仿宋" w:eastAsia="仿宋"/>
          <w:sz w:val="32"/>
          <w:szCs w:val="32"/>
        </w:rPr>
        <w:t>我们</w:t>
      </w:r>
      <w:r>
        <w:rPr>
          <w:rFonts w:ascii="仿宋" w:hAnsi="仿宋" w:eastAsia="仿宋"/>
          <w:sz w:val="32"/>
          <w:szCs w:val="32"/>
        </w:rPr>
        <w:t>实行资金管理报账制</w:t>
      </w:r>
      <w:r>
        <w:rPr>
          <w:rFonts w:hint="eastAsia" w:ascii="仿宋" w:hAnsi="仿宋" w:eastAsia="仿宋"/>
          <w:sz w:val="32"/>
          <w:szCs w:val="32"/>
        </w:rPr>
        <w:t>，</w:t>
      </w:r>
      <w:r>
        <w:rPr>
          <w:rFonts w:ascii="仿宋" w:hAnsi="仿宋" w:eastAsia="仿宋"/>
          <w:sz w:val="32"/>
          <w:szCs w:val="32"/>
        </w:rPr>
        <w:t>工程建设监理制</w:t>
      </w:r>
      <w:r>
        <w:rPr>
          <w:rFonts w:hint="eastAsia" w:ascii="仿宋" w:hAnsi="仿宋" w:eastAsia="仿宋"/>
          <w:sz w:val="32"/>
          <w:szCs w:val="32"/>
        </w:rPr>
        <w:t>，</w:t>
      </w:r>
      <w:r>
        <w:rPr>
          <w:rFonts w:ascii="仿宋" w:hAnsi="仿宋" w:eastAsia="仿宋"/>
          <w:sz w:val="32"/>
          <w:szCs w:val="32"/>
        </w:rPr>
        <w:t>建设任务合同制。</w:t>
      </w:r>
      <w:r>
        <w:rPr>
          <w:rFonts w:hint="eastAsia" w:ascii="仿宋" w:hAnsi="仿宋" w:eastAsia="仿宋"/>
          <w:sz w:val="32"/>
          <w:szCs w:val="32"/>
        </w:rPr>
        <w:t>工作任务完成后或</w:t>
      </w:r>
      <w:r>
        <w:rPr>
          <w:rFonts w:ascii="仿宋" w:hAnsi="仿宋" w:eastAsia="仿宋"/>
          <w:sz w:val="32"/>
          <w:szCs w:val="32"/>
        </w:rPr>
        <w:t>工程完工验收后，将验收情况报</w:t>
      </w:r>
      <w:r>
        <w:rPr>
          <w:rFonts w:hint="eastAsia" w:ascii="仿宋" w:hAnsi="仿宋" w:eastAsia="仿宋"/>
          <w:sz w:val="32"/>
          <w:szCs w:val="32"/>
        </w:rPr>
        <w:t>中心校</w:t>
      </w:r>
      <w:r>
        <w:rPr>
          <w:rFonts w:ascii="仿宋" w:hAnsi="仿宋" w:eastAsia="仿宋"/>
          <w:sz w:val="32"/>
          <w:szCs w:val="32"/>
        </w:rPr>
        <w:t>，</w:t>
      </w:r>
      <w:r>
        <w:rPr>
          <w:rFonts w:hint="eastAsia" w:ascii="仿宋" w:hAnsi="仿宋" w:eastAsia="仿宋"/>
          <w:sz w:val="32"/>
          <w:szCs w:val="32"/>
        </w:rPr>
        <w:t>市教育局，</w:t>
      </w:r>
      <w:r>
        <w:rPr>
          <w:rFonts w:ascii="仿宋" w:hAnsi="仿宋" w:eastAsia="仿宋"/>
          <w:sz w:val="32"/>
          <w:szCs w:val="32"/>
        </w:rPr>
        <w:t>经</w:t>
      </w:r>
      <w:r>
        <w:rPr>
          <w:rFonts w:hint="eastAsia" w:ascii="仿宋" w:hAnsi="仿宋" w:eastAsia="仿宋"/>
          <w:sz w:val="32"/>
          <w:szCs w:val="32"/>
        </w:rPr>
        <w:t>相关人员</w:t>
      </w:r>
      <w:r>
        <w:rPr>
          <w:rFonts w:ascii="仿宋" w:hAnsi="仿宋" w:eastAsia="仿宋"/>
          <w:sz w:val="32"/>
          <w:szCs w:val="32"/>
        </w:rPr>
        <w:t>现场复查，验收合格后方可报账支付资金。</w:t>
      </w:r>
    </w:p>
    <w:p>
      <w:pPr>
        <w:spacing w:line="55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三、专项资金支出组织实施情况</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（一）资金使用管理情况，主要包括专项资金及项目管理制度建设、日常检查监督管理等情况。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省级教育专</w:t>
      </w:r>
      <w:r>
        <w:rPr>
          <w:rFonts w:ascii="仿宋" w:hAnsi="仿宋" w:eastAsia="仿宋"/>
          <w:sz w:val="32"/>
          <w:szCs w:val="32"/>
        </w:rPr>
        <w:t>项支出均按照有关规章制度和项目实施完成情况进行支付</w:t>
      </w:r>
      <w:r>
        <w:rPr>
          <w:rFonts w:hint="eastAsia" w:ascii="仿宋" w:hAnsi="仿宋" w:eastAsia="仿宋"/>
          <w:sz w:val="32"/>
          <w:szCs w:val="32"/>
        </w:rPr>
        <w:t>，</w:t>
      </w:r>
      <w:r>
        <w:rPr>
          <w:rFonts w:ascii="仿宋" w:hAnsi="仿宋" w:eastAsia="仿宋"/>
          <w:sz w:val="32"/>
          <w:szCs w:val="32"/>
        </w:rPr>
        <w:t>并建立相关的管理制度，有专人负责</w:t>
      </w:r>
      <w:r>
        <w:rPr>
          <w:rFonts w:hint="eastAsia" w:ascii="仿宋" w:hAnsi="仿宋" w:eastAsia="仿宋"/>
          <w:sz w:val="32"/>
          <w:szCs w:val="32"/>
        </w:rPr>
        <w:t>。</w:t>
      </w:r>
      <w:r>
        <w:rPr>
          <w:rFonts w:ascii="仿宋" w:hAnsi="仿宋" w:eastAsia="仿宋"/>
          <w:sz w:val="32"/>
          <w:szCs w:val="32"/>
        </w:rPr>
        <w:t>项目进行前进行集体研究讨论，项目进行时有负责人及时跟踪项目实施情况，并及时提出意见和建议，办公设备购置全都通过政府采购</w:t>
      </w:r>
      <w:r>
        <w:rPr>
          <w:rFonts w:hint="eastAsia" w:ascii="仿宋" w:hAnsi="仿宋" w:eastAsia="仿宋"/>
          <w:sz w:val="32"/>
          <w:szCs w:val="32"/>
        </w:rPr>
        <w:t>管理办公室</w:t>
      </w:r>
      <w:r>
        <w:rPr>
          <w:rFonts w:ascii="仿宋" w:hAnsi="仿宋" w:eastAsia="仿宋"/>
          <w:sz w:val="32"/>
          <w:szCs w:val="32"/>
        </w:rPr>
        <w:t>审批后</w:t>
      </w:r>
      <w:r>
        <w:rPr>
          <w:rFonts w:hint="eastAsia" w:ascii="仿宋" w:hAnsi="仿宋" w:eastAsia="仿宋"/>
          <w:sz w:val="32"/>
          <w:szCs w:val="32"/>
        </w:rPr>
        <w:t>按程序</w:t>
      </w:r>
      <w:r>
        <w:rPr>
          <w:rFonts w:ascii="仿宋" w:hAnsi="仿宋" w:eastAsia="仿宋"/>
          <w:sz w:val="32"/>
          <w:szCs w:val="32"/>
        </w:rPr>
        <w:t>采购。</w:t>
      </w:r>
    </w:p>
    <w:p>
      <w:pPr>
        <w:adjustRightInd w:val="0"/>
        <w:snapToGrid w:val="0"/>
        <w:spacing w:line="600" w:lineRule="exact"/>
        <w:rPr>
          <w:rFonts w:ascii="仿宋" w:hAnsi="仿宋" w:eastAsia="仿宋"/>
          <w:sz w:val="32"/>
          <w:szCs w:val="32"/>
        </w:rPr>
      </w:pPr>
      <w:r>
        <w:rPr>
          <w:rFonts w:hint="eastAsia" w:ascii="仿宋" w:hAnsi="仿宋" w:eastAsia="仿宋"/>
          <w:sz w:val="32"/>
          <w:szCs w:val="32"/>
        </w:rPr>
        <w:t xml:space="preserve">    （二）项目组织实施情况，主要包括项目申报、评审与立项情况，以及项目单位的制度建设、过程实施（含调整、验收）等情况。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项目经费严格按照单位的财务制度和预算支出范围的使用。由沅江市财政局教科文股、国库集中支付局和沅江市教育局会计核算中心统一核算，按照项目计划安排和实际工作情况开支，做到了专款专用，经费均按照湖南省财政厅印发有关文件、通知精神执行。</w:t>
      </w:r>
    </w:p>
    <w:p>
      <w:pPr>
        <w:spacing w:line="550" w:lineRule="exact"/>
        <w:rPr>
          <w:rFonts w:ascii="仿宋" w:hAnsi="仿宋" w:eastAsia="仿宋"/>
          <w:sz w:val="32"/>
          <w:szCs w:val="32"/>
        </w:rPr>
      </w:pPr>
      <w:r>
        <w:rPr>
          <w:rFonts w:hint="eastAsia" w:ascii="仿宋" w:hAnsi="仿宋" w:eastAsia="仿宋"/>
          <w:sz w:val="32"/>
          <w:szCs w:val="32"/>
        </w:rPr>
        <w:t xml:space="preserve">     四、专项资金绩效情况</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（一）专项资金产出情况。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）项目的实施进度。</w:t>
      </w:r>
      <w:r>
        <w:rPr>
          <w:rFonts w:ascii="仿宋" w:hAnsi="仿宋" w:eastAsia="仿宋"/>
          <w:sz w:val="32"/>
          <w:szCs w:val="32"/>
        </w:rPr>
        <w:t>按时完成</w:t>
      </w:r>
      <w:r>
        <w:rPr>
          <w:rFonts w:hint="eastAsia" w:ascii="仿宋" w:hAnsi="仿宋" w:eastAsia="仿宋"/>
          <w:sz w:val="32"/>
          <w:szCs w:val="32"/>
        </w:rPr>
        <w:t>了省级教育专项资金要求的各项</w:t>
      </w:r>
      <w:r>
        <w:rPr>
          <w:rFonts w:ascii="仿宋" w:hAnsi="仿宋" w:eastAsia="仿宋"/>
          <w:sz w:val="32"/>
          <w:szCs w:val="32"/>
        </w:rPr>
        <w:t>工作任务。</w:t>
      </w:r>
    </w:p>
    <w:p>
      <w:pPr>
        <w:spacing w:line="600" w:lineRule="exact"/>
        <w:ind w:firstLine="640" w:firstLineChars="200"/>
        <w:rPr>
          <w:rFonts w:ascii="仿宋" w:hAnsi="仿宋" w:eastAsia="仿宋"/>
          <w:sz w:val="32"/>
          <w:szCs w:val="32"/>
        </w:rPr>
      </w:pPr>
      <w:r>
        <w:rPr>
          <w:rFonts w:ascii="仿宋" w:hAnsi="仿宋" w:eastAsia="仿宋"/>
          <w:sz w:val="32"/>
          <w:szCs w:val="32"/>
        </w:rPr>
        <w:t>（2）项目完成质量</w:t>
      </w:r>
      <w:r>
        <w:rPr>
          <w:rFonts w:hint="eastAsia" w:ascii="仿宋" w:hAnsi="仿宋" w:eastAsia="仿宋"/>
          <w:sz w:val="32"/>
          <w:szCs w:val="32"/>
        </w:rPr>
        <w:t>。</w:t>
      </w:r>
      <w:r>
        <w:rPr>
          <w:rFonts w:ascii="仿宋" w:hAnsi="仿宋" w:eastAsia="仿宋"/>
          <w:sz w:val="32"/>
          <w:szCs w:val="32"/>
        </w:rPr>
        <w:t>工作任务全部按时完成，并已经</w:t>
      </w:r>
      <w:r>
        <w:rPr>
          <w:rFonts w:hint="eastAsia" w:ascii="仿宋" w:hAnsi="仿宋" w:eastAsia="仿宋"/>
          <w:sz w:val="32"/>
          <w:szCs w:val="32"/>
        </w:rPr>
        <w:t>利用</w:t>
      </w:r>
      <w:r>
        <w:rPr>
          <w:rFonts w:ascii="仿宋" w:hAnsi="仿宋" w:eastAsia="仿宋"/>
          <w:sz w:val="32"/>
          <w:szCs w:val="32"/>
        </w:rPr>
        <w:t>，运行状况良好。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1）项目成本（预算）控制情况</w:t>
      </w:r>
      <w:r>
        <w:rPr>
          <w:rFonts w:hint="eastAsia" w:ascii="仿宋" w:hAnsi="仿宋" w:eastAsia="仿宋"/>
          <w:sz w:val="32"/>
          <w:szCs w:val="32"/>
        </w:rPr>
        <w:t>。</w:t>
      </w:r>
      <w:r>
        <w:rPr>
          <w:rFonts w:ascii="仿宋" w:hAnsi="仿宋" w:eastAsia="仿宋"/>
          <w:sz w:val="32"/>
          <w:szCs w:val="32"/>
        </w:rPr>
        <w:t>所有资金使用严格按照有关财务制度</w:t>
      </w:r>
      <w:r>
        <w:rPr>
          <w:rFonts w:hint="eastAsia" w:ascii="仿宋" w:hAnsi="仿宋" w:eastAsia="仿宋"/>
          <w:sz w:val="32"/>
          <w:szCs w:val="32"/>
        </w:rPr>
        <w:t>及预算资金</w:t>
      </w:r>
      <w:r>
        <w:rPr>
          <w:rFonts w:ascii="仿宋" w:hAnsi="仿宋" w:eastAsia="仿宋"/>
          <w:sz w:val="32"/>
          <w:szCs w:val="32"/>
        </w:rPr>
        <w:t>执行。完成了整个项目支出224万元。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2）项目成本（预算）节约情况。项目支出过程中均按照厉行节约原则完成。</w:t>
      </w:r>
    </w:p>
    <w:p>
      <w:pPr>
        <w:adjustRightInd w:val="0"/>
        <w:snapToGrid w:val="0"/>
        <w:spacing w:line="600"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（二）专项资金效益情况。</w:t>
      </w:r>
    </w:p>
    <w:p>
      <w:pPr>
        <w:adjustRightInd w:val="0"/>
        <w:snapToGrid w:val="0"/>
        <w:spacing w:line="600" w:lineRule="exact"/>
        <w:ind w:firstLine="645"/>
        <w:rPr>
          <w:rFonts w:ascii="仿宋" w:hAnsi="仿宋" w:eastAsia="仿宋"/>
          <w:sz w:val="32"/>
          <w:szCs w:val="32"/>
        </w:rPr>
      </w:pPr>
      <w:r>
        <w:rPr>
          <w:rFonts w:hint="eastAsia" w:ascii="仿宋" w:hAnsi="仿宋" w:eastAsia="仿宋"/>
          <w:sz w:val="32"/>
          <w:szCs w:val="32"/>
        </w:rPr>
        <w:t>（1）东方壹号学校关注留守孩子转化个性少年专项课题研究费用</w:t>
      </w:r>
      <w:r>
        <w:rPr>
          <w:rFonts w:ascii="仿宋" w:hAnsi="仿宋" w:eastAsia="仿宋"/>
          <w:sz w:val="32"/>
          <w:szCs w:val="32"/>
        </w:rPr>
        <w:t>3.7万元、教改教研奖励5.3万元,聘任教师社保医保等保险费用缴纳5.5万元，另添置武术训练设备设施与表演服装等7.5万元，共计使用22万元整。</w:t>
      </w:r>
    </w:p>
    <w:p>
      <w:pPr>
        <w:adjustRightInd w:val="0"/>
        <w:snapToGrid w:val="0"/>
        <w:spacing w:line="600" w:lineRule="exact"/>
        <w:ind w:firstLine="645"/>
        <w:rPr>
          <w:rFonts w:ascii="仿宋_GB2312" w:eastAsia="仿宋_GB2312"/>
          <w:sz w:val="32"/>
          <w:szCs w:val="32"/>
        </w:rPr>
      </w:pPr>
      <w:r>
        <w:rPr>
          <w:rFonts w:hint="eastAsia" w:ascii="仿宋" w:hAnsi="仿宋" w:eastAsia="仿宋"/>
          <w:sz w:val="32"/>
          <w:szCs w:val="32"/>
        </w:rPr>
        <w:t>（2）</w:t>
      </w:r>
      <w:r>
        <w:rPr>
          <w:rFonts w:hint="eastAsia" w:ascii="仿宋_GB2312" w:eastAsia="仿宋_GB2312"/>
          <w:sz w:val="32"/>
          <w:szCs w:val="32"/>
        </w:rPr>
        <w:t>通过进一步加强“平安校园”信息化建设,利用信息化平台,今年进一步提升了8所学校的安全防范能力,提高维护了安全稳定工作和校园安全管理工作的科学性、有效性,及时消除了校园安全隐患,有效预防和打击了校内各类违法犯罪事件。</w:t>
      </w:r>
    </w:p>
    <w:p>
      <w:pPr>
        <w:adjustRightInd w:val="0"/>
        <w:snapToGrid w:val="0"/>
        <w:spacing w:line="600" w:lineRule="exact"/>
        <w:ind w:firstLine="645"/>
        <w:rPr>
          <w:rFonts w:ascii="仿宋" w:hAnsi="仿宋" w:eastAsia="仿宋"/>
          <w:sz w:val="32"/>
          <w:szCs w:val="32"/>
        </w:rPr>
      </w:pPr>
      <w:r>
        <w:rPr>
          <w:rFonts w:hint="eastAsia" w:ascii="仿宋_GB2312" w:eastAsia="仿宋_GB2312"/>
          <w:sz w:val="32"/>
          <w:szCs w:val="32"/>
        </w:rPr>
        <w:t>（3）根据“全国青少年校园足球特色学校（幼儿园）评价细则”，46万元专项资金全部下拨到足球特色学校和足特色幼儿园。血防教育专项经费23万元，其中用于血防教育培训15万元，血防教育先进单位奖励1万元，3所血防教育样板基地校拨付6万元，9所血防教育基地校和3所幼儿园拨付1万元。两项共计69万元。</w:t>
      </w:r>
    </w:p>
    <w:p>
      <w:pPr>
        <w:adjustRightInd w:val="0"/>
        <w:snapToGrid w:val="0"/>
        <w:spacing w:line="600" w:lineRule="exact"/>
        <w:ind w:firstLine="645"/>
        <w:rPr>
          <w:rFonts w:ascii="仿宋" w:hAnsi="仿宋" w:eastAsia="仿宋"/>
          <w:sz w:val="32"/>
          <w:szCs w:val="32"/>
        </w:rPr>
      </w:pPr>
      <w:r>
        <w:rPr>
          <w:rFonts w:hint="eastAsia" w:ascii="仿宋" w:hAnsi="仿宋" w:eastAsia="仿宋"/>
          <w:sz w:val="32"/>
          <w:szCs w:val="32"/>
        </w:rPr>
        <w:t>（4）胭脂湖中小胡蓉老师获“省芙蓉教学名师”荣誉称号，奖励工作经费每年10万元，共30万元。通过有步骤的开展教师培训工作，进一步完善了校本教研制度，致力课改实验的研究，将教师的教学实践与教学研究、校本培训有机融合专业水平，形成了“培训、管理、研究”一体化的校本培训运行机制。有效促进了教师的持续发展、提升了教师的整体素质。</w:t>
      </w:r>
    </w:p>
    <w:p>
      <w:pPr>
        <w:adjustRightInd w:val="0"/>
        <w:snapToGrid w:val="0"/>
        <w:spacing w:line="600" w:lineRule="exact"/>
        <w:ind w:firstLine="645"/>
        <w:rPr>
          <w:rFonts w:ascii="仿宋" w:hAnsi="仿宋" w:eastAsia="仿宋"/>
          <w:sz w:val="32"/>
          <w:szCs w:val="32"/>
        </w:rPr>
      </w:pPr>
      <w:r>
        <w:rPr>
          <w:rFonts w:hint="eastAsia" w:ascii="仿宋" w:hAnsi="仿宋" w:eastAsia="仿宋"/>
          <w:sz w:val="32"/>
          <w:szCs w:val="32"/>
        </w:rPr>
        <w:t>（5）玉潭学校周献辉老师完成了《高中生物教学中学生建模思维方式的培养研究》课题研究，体现了鲜明的时代特征、问题导向和创新意识，着力推出了体现国家水准的研究成果。基础研究通过密切跟踪国内外学术发展和学科建设的前沿和动态，着力推进了学科体系、学术体系、话语体系建设和创新，具有原创性、开拓性和较高的学术思想价值。</w:t>
      </w:r>
    </w:p>
    <w:p>
      <w:pPr>
        <w:adjustRightInd w:val="0"/>
        <w:snapToGrid w:val="0"/>
        <w:spacing w:line="600" w:lineRule="exact"/>
        <w:ind w:firstLine="320" w:firstLineChars="100"/>
        <w:rPr>
          <w:rFonts w:ascii="仿宋" w:hAnsi="仿宋" w:eastAsia="仿宋"/>
          <w:sz w:val="32"/>
          <w:szCs w:val="32"/>
        </w:rPr>
      </w:pPr>
      <w:r>
        <w:rPr>
          <w:rFonts w:hint="eastAsia" w:ascii="仿宋" w:hAnsi="仿宋" w:eastAsia="仿宋"/>
          <w:sz w:val="32"/>
          <w:szCs w:val="32"/>
        </w:rPr>
        <w:t xml:space="preserve">   五、专项资金项目后续工作计划。</w:t>
      </w:r>
    </w:p>
    <w:p>
      <w:pPr>
        <w:adjustRightInd w:val="0"/>
        <w:snapToGrid w:val="0"/>
        <w:spacing w:line="600" w:lineRule="exact"/>
        <w:ind w:firstLine="800" w:firstLineChars="250"/>
        <w:rPr>
          <w:rFonts w:ascii="仿宋" w:hAnsi="仿宋" w:eastAsia="仿宋"/>
          <w:sz w:val="32"/>
          <w:szCs w:val="32"/>
        </w:rPr>
      </w:pPr>
      <w:r>
        <w:rPr>
          <w:rFonts w:hint="eastAsia" w:ascii="仿宋" w:hAnsi="仿宋" w:eastAsia="仿宋"/>
          <w:sz w:val="32"/>
          <w:szCs w:val="32"/>
        </w:rPr>
        <w:t>加强管理，挖掘潜能进一步提高资金的使用效率。</w:t>
      </w:r>
    </w:p>
    <w:p>
      <w:pPr>
        <w:adjustRightInd w:val="0"/>
        <w:snapToGrid w:val="0"/>
        <w:spacing w:line="600" w:lineRule="exact"/>
        <w:ind w:firstLine="320" w:firstLineChars="100"/>
        <w:rPr>
          <w:rFonts w:ascii="仿宋" w:hAnsi="仿宋" w:eastAsia="仿宋"/>
          <w:sz w:val="32"/>
          <w:szCs w:val="32"/>
        </w:rPr>
      </w:pPr>
      <w:r>
        <w:rPr>
          <w:rFonts w:hint="eastAsia" w:ascii="仿宋" w:hAnsi="仿宋" w:eastAsia="仿宋"/>
          <w:sz w:val="32"/>
          <w:szCs w:val="32"/>
        </w:rPr>
        <w:t xml:space="preserve">   六、主要经验做法、存在的问题及原因分析</w:t>
      </w:r>
    </w:p>
    <w:p>
      <w:pPr>
        <w:adjustRightInd w:val="0"/>
        <w:snapToGrid w:val="0"/>
        <w:spacing w:line="600" w:lineRule="exact"/>
        <w:ind w:firstLine="320" w:firstLineChars="10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1、主要做法</w:t>
      </w:r>
    </w:p>
    <w:p>
      <w:pPr>
        <w:adjustRightInd w:val="0"/>
        <w:snapToGrid w:val="0"/>
        <w:spacing w:line="600" w:lineRule="exact"/>
        <w:ind w:firstLine="480" w:firstLineChars="150"/>
        <w:rPr>
          <w:rFonts w:ascii="仿宋" w:hAnsi="仿宋" w:eastAsia="仿宋"/>
          <w:sz w:val="32"/>
          <w:szCs w:val="32"/>
        </w:rPr>
      </w:pPr>
      <w:r>
        <w:rPr>
          <w:rFonts w:ascii="仿宋" w:hAnsi="仿宋" w:eastAsia="仿宋"/>
          <w:sz w:val="32"/>
          <w:szCs w:val="32"/>
        </w:rPr>
        <w:t>（1）是实行专人专账管理。按照各项专项资金管理和使用办法，按会计制度进行单独的会计核算，专项资金使用规范，</w:t>
      </w:r>
      <w:r>
        <w:rPr>
          <w:rFonts w:hint="eastAsia" w:ascii="仿宋" w:hAnsi="仿宋" w:eastAsia="仿宋"/>
          <w:sz w:val="32"/>
          <w:szCs w:val="32"/>
        </w:rPr>
        <w:t>账</w:t>
      </w:r>
      <w:r>
        <w:rPr>
          <w:rFonts w:ascii="仿宋" w:hAnsi="仿宋" w:eastAsia="仿宋"/>
          <w:sz w:val="32"/>
          <w:szCs w:val="32"/>
        </w:rPr>
        <w:t>务清晰，原始凭证齐全。</w:t>
      </w:r>
    </w:p>
    <w:p>
      <w:pPr>
        <w:adjustRightInd w:val="0"/>
        <w:snapToGrid w:val="0"/>
        <w:spacing w:line="600" w:lineRule="exact"/>
        <w:ind w:firstLine="480" w:firstLineChars="150"/>
        <w:rPr>
          <w:rFonts w:ascii="仿宋" w:hAnsi="仿宋" w:eastAsia="仿宋"/>
          <w:sz w:val="32"/>
          <w:szCs w:val="32"/>
        </w:rPr>
      </w:pPr>
      <w:r>
        <w:rPr>
          <w:rFonts w:ascii="仿宋" w:hAnsi="仿宋" w:eastAsia="仿宋"/>
          <w:sz w:val="32"/>
          <w:szCs w:val="32"/>
        </w:rPr>
        <w:t>（2）是实行责任</w:t>
      </w:r>
      <w:r>
        <w:rPr>
          <w:rFonts w:hint="eastAsia" w:ascii="仿宋" w:hAnsi="仿宋" w:eastAsia="仿宋"/>
          <w:sz w:val="32"/>
          <w:szCs w:val="32"/>
        </w:rPr>
        <w:t>追究制</w:t>
      </w:r>
      <w:r>
        <w:rPr>
          <w:rFonts w:ascii="仿宋" w:hAnsi="仿宋" w:eastAsia="仿宋"/>
          <w:sz w:val="32"/>
          <w:szCs w:val="32"/>
        </w:rPr>
        <w:t>。在项目实施和资金使用过程中，实行责任目标管理，</w:t>
      </w:r>
      <w:r>
        <w:rPr>
          <w:rFonts w:hint="eastAsia" w:ascii="仿宋" w:hAnsi="仿宋" w:eastAsia="仿宋"/>
          <w:sz w:val="32"/>
          <w:szCs w:val="32"/>
        </w:rPr>
        <w:t>实行责任追究制度，学校校长为第一责任人，</w:t>
      </w:r>
      <w:r>
        <w:rPr>
          <w:rFonts w:hint="eastAsia" w:asciiTheme="minorEastAsia" w:hAnsiTheme="minorEastAsia" w:eastAsiaTheme="minorEastAsia"/>
          <w:sz w:val="32"/>
          <w:szCs w:val="32"/>
        </w:rPr>
        <w:t>总</w:t>
      </w:r>
      <w:r>
        <w:rPr>
          <w:rFonts w:hint="eastAsia" w:ascii="仿宋" w:hAnsi="仿宋" w:eastAsia="仿宋"/>
          <w:sz w:val="32"/>
          <w:szCs w:val="32"/>
        </w:rPr>
        <w:t>务主任为直接责任人。如有目标没落实的情况，则追究相应负责人的责任。</w:t>
      </w:r>
    </w:p>
    <w:p>
      <w:pPr>
        <w:adjustRightInd w:val="0"/>
        <w:snapToGrid w:val="0"/>
        <w:spacing w:line="600" w:lineRule="exact"/>
        <w:rPr>
          <w:rFonts w:ascii="仿宋" w:hAnsi="仿宋" w:eastAsia="仿宋"/>
          <w:sz w:val="32"/>
          <w:szCs w:val="32"/>
        </w:rPr>
      </w:pPr>
      <w:r>
        <w:rPr>
          <w:rFonts w:hint="eastAsia" w:ascii="仿宋" w:hAnsi="仿宋" w:eastAsia="仿宋"/>
          <w:sz w:val="32"/>
          <w:szCs w:val="32"/>
        </w:rPr>
        <w:t xml:space="preserve">    七、有关建议</w:t>
      </w:r>
      <w:bookmarkStart w:id="0" w:name="_GoBack"/>
      <w:bookmarkEnd w:id="0"/>
    </w:p>
    <w:p>
      <w:pPr>
        <w:spacing w:line="600" w:lineRule="exact"/>
        <w:ind w:firstLine="480" w:firstLineChars="15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建议省财政厅和省教育厅定期主办教育</w:t>
      </w:r>
      <w:r>
        <w:rPr>
          <w:rFonts w:ascii="仿宋" w:hAnsi="仿宋" w:eastAsia="仿宋"/>
          <w:sz w:val="32"/>
          <w:szCs w:val="32"/>
        </w:rPr>
        <w:t>专项资金绩效评</w:t>
      </w:r>
      <w:r>
        <w:rPr>
          <w:rFonts w:hint="eastAsia" w:ascii="仿宋" w:hAnsi="仿宋" w:eastAsia="仿宋"/>
          <w:sz w:val="32"/>
          <w:szCs w:val="32"/>
        </w:rPr>
        <w:t>价的专题培训，提高教育行政干部的项目</w:t>
      </w:r>
      <w:r>
        <w:rPr>
          <w:rFonts w:ascii="仿宋" w:hAnsi="仿宋" w:eastAsia="仿宋"/>
          <w:sz w:val="32"/>
          <w:szCs w:val="32"/>
        </w:rPr>
        <w:t>绩效</w:t>
      </w:r>
      <w:r>
        <w:rPr>
          <w:rFonts w:hint="eastAsia" w:ascii="仿宋" w:hAnsi="仿宋" w:eastAsia="仿宋"/>
          <w:sz w:val="32"/>
          <w:szCs w:val="32"/>
        </w:rPr>
        <w:t>管理意识和工作人员的项目</w:t>
      </w:r>
      <w:r>
        <w:rPr>
          <w:rFonts w:ascii="仿宋" w:hAnsi="仿宋" w:eastAsia="仿宋"/>
          <w:sz w:val="32"/>
          <w:szCs w:val="32"/>
        </w:rPr>
        <w:t>绩效</w:t>
      </w:r>
      <w:r>
        <w:rPr>
          <w:rFonts w:hint="eastAsia" w:ascii="仿宋" w:hAnsi="仿宋" w:eastAsia="仿宋"/>
          <w:sz w:val="32"/>
          <w:szCs w:val="32"/>
        </w:rPr>
        <w:t>管理水平。</w:t>
      </w:r>
    </w:p>
    <w:p>
      <w:pPr>
        <w:spacing w:line="600" w:lineRule="exact"/>
        <w:ind w:firstLine="480" w:firstLineChars="15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进一步改善办公条件，逐步实现办公条件标准化，用现代信息技术带动</w:t>
      </w:r>
      <w:r>
        <w:rPr>
          <w:rFonts w:ascii="仿宋" w:hAnsi="仿宋" w:eastAsia="仿宋"/>
          <w:sz w:val="32"/>
          <w:szCs w:val="32"/>
        </w:rPr>
        <w:t>专项资金绩效评</w:t>
      </w:r>
      <w:r>
        <w:rPr>
          <w:rFonts w:hint="eastAsia" w:ascii="仿宋" w:hAnsi="仿宋" w:eastAsia="仿宋"/>
          <w:sz w:val="32"/>
          <w:szCs w:val="32"/>
        </w:rPr>
        <w:t>价的现代化。</w:t>
      </w:r>
    </w:p>
    <w:p>
      <w:pPr>
        <w:spacing w:line="600" w:lineRule="exact"/>
        <w:ind w:firstLine="480" w:firstLineChars="15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学校存在要改善的地方较多，专项资金有限，一定程度上约束了办学条件的改善。建议省财政和教育部门进一步加大对农村中小学特别是薄弱学校改善办学条件的支持力度。</w:t>
      </w:r>
    </w:p>
    <w:p>
      <w:pPr>
        <w:adjustRightInd w:val="0"/>
        <w:snapToGrid w:val="0"/>
        <w:spacing w:line="600" w:lineRule="exact"/>
        <w:rPr>
          <w:rFonts w:ascii="仿宋" w:hAnsi="仿宋" w:eastAsia="仿宋"/>
          <w:sz w:val="32"/>
          <w:szCs w:val="32"/>
        </w:rPr>
      </w:pPr>
      <w:r>
        <w:rPr>
          <w:rFonts w:hint="eastAsia" w:ascii="仿宋" w:hAnsi="仿宋" w:eastAsia="仿宋"/>
          <w:sz w:val="32"/>
          <w:szCs w:val="32"/>
        </w:rPr>
        <w:t xml:space="preserve">    八、其他需要说明的问题</w:t>
      </w:r>
    </w:p>
    <w:p>
      <w:pPr>
        <w:adjustRightInd w:val="0"/>
        <w:snapToGrid w:val="0"/>
        <w:spacing w:line="600" w:lineRule="exact"/>
        <w:rPr>
          <w:rFonts w:ascii="仿宋" w:hAnsi="仿宋" w:eastAsia="仿宋"/>
          <w:sz w:val="32"/>
          <w:szCs w:val="32"/>
        </w:rPr>
      </w:pPr>
      <w:r>
        <w:rPr>
          <w:rFonts w:hint="eastAsia" w:ascii="仿宋" w:hAnsi="仿宋" w:eastAsia="仿宋"/>
          <w:sz w:val="32"/>
          <w:szCs w:val="32"/>
        </w:rPr>
        <w:t xml:space="preserve">    无。</w:t>
      </w:r>
    </w:p>
    <w:p>
      <w:pPr>
        <w:widowControl/>
        <w:numPr>
          <w:ilvl w:val="255"/>
          <w:numId w:val="0"/>
        </w:numPr>
        <w:jc w:val="left"/>
        <w:textAlignment w:val="center"/>
        <w:rPr>
          <w:rFonts w:eastAsia="黑体"/>
          <w:sz w:val="32"/>
          <w:szCs w:val="32"/>
        </w:rPr>
        <w:sectPr>
          <w:pgSz w:w="11906" w:h="16838"/>
          <w:pgMar w:top="1440" w:right="1803" w:bottom="1440" w:left="1803" w:header="851" w:footer="992" w:gutter="0"/>
          <w:cols w:space="0" w:num="1"/>
          <w:docGrid w:linePitch="312" w:charSpace="0"/>
        </w:sectPr>
      </w:pPr>
    </w:p>
    <w:p>
      <w:pPr>
        <w:adjustRightInd w:val="0"/>
        <w:snapToGrid w:val="0"/>
        <w:spacing w:afterLines="50" w:line="600" w:lineRule="exact"/>
        <w:rPr>
          <w:rFonts w:eastAsia="黑体"/>
          <w:sz w:val="32"/>
          <w:szCs w:val="32"/>
        </w:rPr>
      </w:pPr>
      <w:r>
        <w:rPr>
          <w:rFonts w:hint="eastAsia" w:eastAsia="黑体"/>
          <w:sz w:val="32"/>
          <w:szCs w:val="32"/>
        </w:rPr>
        <w:t>附件</w:t>
      </w:r>
      <w:r>
        <w:rPr>
          <w:rFonts w:eastAsia="黑体"/>
          <w:sz w:val="32"/>
          <w:szCs w:val="32"/>
        </w:rPr>
        <w:t>7-1</w:t>
      </w:r>
    </w:p>
    <w:p>
      <w:pPr>
        <w:snapToGrid w:val="0"/>
        <w:spacing w:line="570" w:lineRule="exact"/>
        <w:jc w:val="left"/>
        <w:rPr>
          <w:rFonts w:eastAsia="方正小标宋_GBK"/>
          <w:color w:val="000000"/>
          <w:kern w:val="0"/>
          <w:sz w:val="32"/>
          <w:szCs w:val="32"/>
        </w:rPr>
      </w:pPr>
    </w:p>
    <w:p>
      <w:pPr>
        <w:snapToGrid w:val="0"/>
        <w:spacing w:line="570" w:lineRule="exact"/>
        <w:jc w:val="center"/>
        <w:rPr>
          <w:rFonts w:ascii="方正小标宋简体" w:eastAsia="方正小标宋简体"/>
          <w:color w:val="000000"/>
          <w:kern w:val="0"/>
          <w:sz w:val="44"/>
          <w:szCs w:val="44"/>
        </w:rPr>
      </w:pPr>
      <w:r>
        <w:rPr>
          <w:rFonts w:hint="eastAsia" w:ascii="方正小标宋简体" w:eastAsia="方正小标宋简体"/>
          <w:color w:val="000000"/>
          <w:kern w:val="0"/>
          <w:sz w:val="44"/>
          <w:szCs w:val="44"/>
        </w:rPr>
        <w:t>2020年度教育综合发展专项资金</w:t>
      </w:r>
    </w:p>
    <w:p>
      <w:pPr>
        <w:snapToGrid w:val="0"/>
        <w:spacing w:line="570" w:lineRule="exact"/>
        <w:jc w:val="center"/>
        <w:rPr>
          <w:rFonts w:ascii="方正小标宋简体" w:eastAsia="方正小标宋简体"/>
          <w:color w:val="000000"/>
          <w:kern w:val="0"/>
          <w:sz w:val="44"/>
          <w:szCs w:val="44"/>
        </w:rPr>
      </w:pPr>
      <w:r>
        <w:rPr>
          <w:rFonts w:hint="eastAsia" w:ascii="方正小标宋简体" w:eastAsia="方正小标宋简体"/>
          <w:color w:val="000000"/>
          <w:kern w:val="0"/>
          <w:sz w:val="44"/>
          <w:szCs w:val="44"/>
        </w:rPr>
        <w:t>绩效评价基础数据表</w:t>
      </w:r>
    </w:p>
    <w:p>
      <w:pPr>
        <w:snapToGrid w:val="0"/>
        <w:spacing w:line="570" w:lineRule="exact"/>
        <w:jc w:val="left"/>
        <w:rPr>
          <w:rFonts w:eastAsia="方正小标宋_GBK"/>
          <w:color w:val="000000"/>
          <w:kern w:val="0"/>
          <w:sz w:val="32"/>
          <w:szCs w:val="32"/>
        </w:rPr>
      </w:pP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0"/>
        <w:gridCol w:w="3351"/>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blHeader/>
        </w:trPr>
        <w:tc>
          <w:tcPr>
            <w:tcW w:w="4128" w:type="dxa"/>
            <w:gridSpan w:val="2"/>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项目名称</w:t>
            </w:r>
          </w:p>
        </w:tc>
        <w:tc>
          <w:tcPr>
            <w:tcW w:w="3351"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统计指标</w:t>
            </w:r>
          </w:p>
        </w:tc>
        <w:tc>
          <w:tcPr>
            <w:tcW w:w="709"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目标</w:t>
            </w:r>
          </w:p>
        </w:tc>
        <w:tc>
          <w:tcPr>
            <w:tcW w:w="1134"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教师队伍建设</w:t>
            </w: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省培计划</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培训结业人数</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参培率</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结业率</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教师信息素养培训人数</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视导评分达到</w:t>
            </w:r>
            <w:r>
              <w:rPr>
                <w:rFonts w:ascii="仿宋_GB2312" w:hAnsi="仿宋_GB2312" w:eastAsia="仿宋_GB2312" w:cs="仿宋_GB2312"/>
                <w:szCs w:val="21"/>
              </w:rPr>
              <w:t>90分的项目数</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中央银龄计划省级配套</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实际招募人数（人）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农村教师公费定向培养</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实际招聘人数（人）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仍在培养期内的人数（人）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在校人数（人）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实际毕业人数（人）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应毕业人数（人）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毕业且取得资格证的人数（人）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到岗任教的人数（人）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义务教育学校校长教师轮岗交流</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轮岗校长（人）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交流教师（人）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交流骨干教师（人）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符合交流条件的教师人数（人）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符合交流条件的校长人数（人）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restart"/>
            <w:vAlign w:val="center"/>
          </w:tcPr>
          <w:p>
            <w:pPr>
              <w:adjustRightInd w:val="0"/>
              <w:snapToGrid w:val="0"/>
              <w:rPr>
                <w:rFonts w:ascii="仿宋_GB2312" w:hAnsi="仿宋_GB2312" w:eastAsia="仿宋_GB2312" w:cs="仿宋_GB2312"/>
                <w:szCs w:val="21"/>
              </w:rPr>
            </w:pP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教师综合改革与语言文字工作</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语言文字活动参与人次（人次）</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县域普通话抽查人数（人）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县域普通话抽查合格人数（人）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民族教育发展</w:t>
            </w: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民族教育教师培训</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民族地区校长（名）</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民族地区骨干教师（名）</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民族地区团结教育示范校及偏远教学点建设</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民族地区教学点（个）</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民族地区团结教育示范校（个）</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新增民族团结教育活动（次）</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新增民族团结服饰、乐器（件）</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新增资产产值（元）</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学生人数（人）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内地西藏班补助</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资助学生人数（人）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毕业的民族地区学生人数（人）</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4128" w:type="dxa"/>
            <w:gridSpan w:val="2"/>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民办教育发展</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办学检查合格民办高校数（所）</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4128" w:type="dxa"/>
            <w:gridSpan w:val="2"/>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办学检查民办高校数（所）</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4128" w:type="dxa"/>
            <w:gridSpan w:val="2"/>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市州民办学校建设项目数（个）</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1</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教育信息化</w:t>
            </w:r>
          </w:p>
        </w:tc>
        <w:tc>
          <w:tcPr>
            <w:tcW w:w="2460" w:type="dxa"/>
            <w:vMerge w:val="restart"/>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“互联网</w:t>
            </w:r>
            <w:r>
              <w:rPr>
                <w:rFonts w:ascii="仿宋_GB2312" w:hAnsi="仿宋_GB2312" w:eastAsia="仿宋_GB2312" w:cs="仿宋_GB2312"/>
                <w:szCs w:val="21"/>
              </w:rPr>
              <w:t>+教育”行动计划</w:t>
            </w: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各级各类学校（所）</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5</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教学点（个）</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接入宽带的各级各类学校（所）</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5</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接入宽带的教学点（个）</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vAlign w:val="center"/>
          </w:tcPr>
          <w:p>
            <w:pPr>
              <w:adjustRightInd w:val="0"/>
              <w:snapToGrid w:val="0"/>
              <w:rPr>
                <w:rFonts w:ascii="仿宋_GB2312" w:hAnsi="仿宋_GB2312" w:eastAsia="仿宋_GB2312" w:cs="仿宋_GB2312"/>
                <w:szCs w:val="21"/>
              </w:rPr>
            </w:pPr>
          </w:p>
        </w:tc>
        <w:tc>
          <w:tcPr>
            <w:tcW w:w="2460" w:type="dxa"/>
            <w:vMerge w:val="continue"/>
            <w:vAlign w:val="center"/>
          </w:tcPr>
          <w:p>
            <w:pPr>
              <w:adjustRightInd w:val="0"/>
              <w:snapToGrid w:val="0"/>
              <w:rPr>
                <w:rFonts w:ascii="仿宋_GB2312" w:hAnsi="仿宋_GB2312" w:eastAsia="仿宋_GB2312" w:cs="仿宋_GB2312"/>
                <w:szCs w:val="21"/>
              </w:rPr>
            </w:pPr>
          </w:p>
        </w:tc>
        <w:tc>
          <w:tcPr>
            <w:tcW w:w="3351"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接入百兆宽带的各级各类学校（所）</w:t>
            </w:r>
          </w:p>
        </w:tc>
        <w:tc>
          <w:tcPr>
            <w:tcW w:w="709"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668" w:type="dxa"/>
            <w:vMerge w:val="continue"/>
            <w:tcBorders>
              <w:bottom w:val="single" w:color="auto" w:sz="4" w:space="0"/>
            </w:tcBorders>
            <w:vAlign w:val="center"/>
          </w:tcPr>
          <w:p>
            <w:pPr>
              <w:adjustRightInd w:val="0"/>
              <w:snapToGrid w:val="0"/>
              <w:rPr>
                <w:rFonts w:ascii="仿宋_GB2312" w:hAnsi="仿宋_GB2312" w:eastAsia="仿宋_GB2312" w:cs="仿宋_GB2312"/>
                <w:szCs w:val="21"/>
              </w:rPr>
            </w:pPr>
          </w:p>
        </w:tc>
        <w:tc>
          <w:tcPr>
            <w:tcW w:w="2460" w:type="dxa"/>
            <w:vMerge w:val="continue"/>
            <w:tcBorders>
              <w:bottom w:val="single" w:color="auto" w:sz="4" w:space="0"/>
            </w:tcBorders>
            <w:vAlign w:val="center"/>
          </w:tcPr>
          <w:p>
            <w:pPr>
              <w:adjustRightInd w:val="0"/>
              <w:snapToGrid w:val="0"/>
              <w:rPr>
                <w:rFonts w:ascii="仿宋_GB2312" w:hAnsi="仿宋_GB2312" w:eastAsia="仿宋_GB2312" w:cs="仿宋_GB2312"/>
                <w:szCs w:val="21"/>
              </w:rPr>
            </w:pPr>
          </w:p>
        </w:tc>
        <w:tc>
          <w:tcPr>
            <w:tcW w:w="3351" w:type="dxa"/>
            <w:tcBorders>
              <w:bottom w:val="single" w:color="auto" w:sz="4" w:space="0"/>
            </w:tcBorders>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接入百兆宽带的教学点（个）</w:t>
            </w:r>
          </w:p>
        </w:tc>
        <w:tc>
          <w:tcPr>
            <w:tcW w:w="709" w:type="dxa"/>
            <w:tcBorders>
              <w:bottom w:val="single" w:color="auto" w:sz="4" w:space="0"/>
            </w:tcBorders>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bottom w:val="single" w:color="auto" w:sz="4" w:space="0"/>
            </w:tcBorders>
            <w:vAlign w:val="center"/>
          </w:tcPr>
          <w:p>
            <w:pPr>
              <w:adjustRightInd w:val="0"/>
              <w:snapToGrid w:val="0"/>
              <w:rPr>
                <w:rFonts w:ascii="仿宋_GB2312" w:hAnsi="仿宋_GB2312" w:eastAsia="仿宋_GB2312" w:cs="仿宋_GB2312"/>
                <w:szCs w:val="21"/>
              </w:rPr>
            </w:pPr>
            <w:r>
              <w:rPr>
                <w:rFonts w:hint="eastAsia" w:ascii="仿宋_GB2312" w:hAnsi="仿宋_GB2312" w:eastAsia="仿宋_GB2312" w:cs="仿宋_GB2312"/>
                <w:szCs w:val="21"/>
              </w:rPr>
              <w:t>　</w:t>
            </w:r>
          </w:p>
        </w:tc>
      </w:tr>
    </w:tbl>
    <w:p>
      <w:pPr>
        <w:spacing w:line="20" w:lineRule="exact"/>
        <w:rPr>
          <w:rFonts w:ascii="仿宋_GB2312" w:hAnsi="仿宋_GB2312" w:eastAsia="仿宋_GB2312" w:cs="仿宋_GB2312"/>
          <w:szCs w:val="21"/>
        </w:rPr>
      </w:pPr>
      <w:r>
        <w:rPr>
          <w:rFonts w:ascii="仿宋_GB2312" w:hAnsi="仿宋_GB2312" w:eastAsia="仿宋_GB2312" w:cs="仿宋_GB2312"/>
          <w:szCs w:val="21"/>
        </w:rPr>
        <w:br w:type="page"/>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0"/>
        <w:gridCol w:w="3351"/>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blHeader/>
        </w:trPr>
        <w:tc>
          <w:tcPr>
            <w:tcW w:w="4128" w:type="dxa"/>
            <w:gridSpan w:val="2"/>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项目名称</w:t>
            </w:r>
          </w:p>
        </w:tc>
        <w:tc>
          <w:tcPr>
            <w:tcW w:w="3351"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统计指标</w:t>
            </w:r>
          </w:p>
        </w:tc>
        <w:tc>
          <w:tcPr>
            <w:tcW w:w="709"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目标</w:t>
            </w:r>
          </w:p>
        </w:tc>
        <w:tc>
          <w:tcPr>
            <w:tcW w:w="1134"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教育信息化</w:t>
            </w:r>
          </w:p>
        </w:tc>
        <w:tc>
          <w:tcPr>
            <w:tcW w:w="2460"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“互联网</w:t>
            </w:r>
            <w:r>
              <w:rPr>
                <w:rFonts w:ascii="仿宋_GB2312" w:hAnsi="仿宋_GB2312" w:eastAsia="仿宋_GB2312" w:cs="仿宋_GB2312"/>
                <w:szCs w:val="21"/>
              </w:rPr>
              <w:t>+教育”行动计划</w:t>
            </w: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乡镇及以上学校普通教室（个）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30</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配备多媒体教学设备的乡镇及以上学校普通教室（个）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乡镇以下学校和教学点普通教室（个）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配备多媒体教学设备的乡镇以下学校和教学点普通教室（个）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农村网络联校（个）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农村网络联校开课数（堂）</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已配置教育信息化专业人员的学校（所）</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中期评估的教育信息化创新应用“十百千万工程”建设项目（个）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pacing w:val="-12"/>
                <w:szCs w:val="21"/>
              </w:rPr>
            </w:pPr>
            <w:r>
              <w:rPr>
                <w:rFonts w:hint="eastAsia" w:ascii="仿宋_GB2312" w:hAnsi="仿宋_GB2312" w:eastAsia="仿宋_GB2312" w:cs="仿宋_GB2312"/>
                <w:spacing w:val="-12"/>
                <w:szCs w:val="21"/>
              </w:rPr>
              <w:t>中期评估合格的教育信息化创新应用“十百千万工程”建设项目（个）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结项验收的教育信息化创新应用“十百千万工程”建设项目（个）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pacing w:val="-10"/>
                <w:szCs w:val="21"/>
              </w:rPr>
            </w:pPr>
            <w:r>
              <w:rPr>
                <w:rFonts w:hint="eastAsia" w:ascii="仿宋_GB2312" w:hAnsi="仿宋_GB2312" w:eastAsia="仿宋_GB2312" w:cs="仿宋_GB2312"/>
                <w:spacing w:val="-10"/>
                <w:szCs w:val="21"/>
              </w:rPr>
              <w:t>结项验收合格的教育信息化创新应用“十百千万工程”建设项目（个）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教育信息化创新试点项目（个）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68"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246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p>
        </w:tc>
        <w:tc>
          <w:tcPr>
            <w:tcW w:w="3351"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芙蓉学校教育信息化创新试点项目（个）</w:t>
            </w:r>
          </w:p>
        </w:tc>
        <w:tc>
          <w:tcPr>
            <w:tcW w:w="709"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restart"/>
            <w:tcBorders>
              <w:top w:val="single" w:color="auto" w:sz="4" w:space="0"/>
            </w:tcBorders>
            <w:vAlign w:val="center"/>
          </w:tcPr>
          <w:p>
            <w:pPr>
              <w:rPr>
                <w:rFonts w:ascii="仿宋_GB2312" w:hAnsi="仿宋_GB2312" w:eastAsia="仿宋_GB2312" w:cs="仿宋_GB2312"/>
                <w:szCs w:val="21"/>
              </w:rPr>
            </w:pPr>
          </w:p>
        </w:tc>
        <w:tc>
          <w:tcPr>
            <w:tcW w:w="2460" w:type="dxa"/>
            <w:vMerge w:val="restart"/>
            <w:tcBorders>
              <w:top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教育管理公共服务平台</w:t>
            </w:r>
          </w:p>
        </w:tc>
        <w:tc>
          <w:tcPr>
            <w:tcW w:w="3351" w:type="dxa"/>
            <w:tcBorders>
              <w:top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省级基础教育资源网访问量</w:t>
            </w:r>
          </w:p>
        </w:tc>
        <w:tc>
          <w:tcPr>
            <w:tcW w:w="709" w:type="dxa"/>
            <w:tcBorders>
              <w:top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tcBorders>
              <w:top w:val="single" w:color="auto" w:sz="4" w:space="0"/>
            </w:tcBorders>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“我是接班人”网络大课堂开课数（次）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“我是接班人”网络大课堂听课量（人次）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省级教育信息化建设项目数（个）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达到预计进度的省级教育信息化建设项目数（个）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验收合格的省级教育信息化建设项目数（个）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省级教育网络安全综合考核排名（名）</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体卫艺与国防教育竞赛</w:t>
            </w: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校园足球专项</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认定的全国青少年校园足球特色学校（所）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15</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认定的全国青少年校园足球特色幼儿园学校（所）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新增的国家级校园足球特色学校（所）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新增的国家级校园足球特色试点县区（个）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新增的国家级校园足球特色幼儿园（所）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校园足球类体育竞赛活动（场）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校园足球类体育竞赛活动参赛人次（人次）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3200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校园足球类体育培训参与人次（人次）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66</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全国性足球体育竞赛活动获奖（个）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1"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上一届全国性足球体育竞赛活动获奖（个）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restart"/>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体卫艺与国防教育竞赛及活动（含血吸虫防治）</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举行田径、游泳、篮球等项目比赛</w:t>
            </w:r>
            <w:r>
              <w:rPr>
                <w:rFonts w:ascii="仿宋_GB2312" w:hAnsi="仿宋_GB2312" w:eastAsia="仿宋_GB2312" w:cs="仿宋_GB2312"/>
                <w:szCs w:val="21"/>
              </w:rPr>
              <w:t>(场)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4</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其他体育竞赛（除校园足球外）参赛学生数（人次）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2400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国防竞赛活动参赛学生数（人次）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1800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艺术竞赛活动参赛学生数（人次）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8940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8940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体卫艺与国防培训参与人数（人次）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480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食品安全、饮用水、传染病防控等卫生检查学校（所）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237</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血防健康教育—开展健康教育学校（所）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102</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血防健康教育—受教育学生人次（人次）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59360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59360</w:t>
            </w:r>
          </w:p>
        </w:tc>
      </w:tr>
    </w:tbl>
    <w:p>
      <w:pPr>
        <w:spacing w:line="20" w:lineRule="exact"/>
        <w:rPr>
          <w:rFonts w:ascii="仿宋_GB2312" w:hAnsi="仿宋_GB2312" w:eastAsia="仿宋_GB2312" w:cs="仿宋_GB2312"/>
          <w:szCs w:val="21"/>
        </w:rPr>
      </w:pPr>
      <w:r>
        <w:rPr>
          <w:rFonts w:ascii="仿宋_GB2312" w:hAnsi="仿宋_GB2312" w:eastAsia="仿宋_GB2312" w:cs="仿宋_GB2312"/>
          <w:szCs w:val="21"/>
        </w:rPr>
        <w:br w:type="page"/>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0"/>
        <w:gridCol w:w="3351"/>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blHeader/>
        </w:trPr>
        <w:tc>
          <w:tcPr>
            <w:tcW w:w="4128" w:type="dxa"/>
            <w:gridSpan w:val="2"/>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项目名称</w:t>
            </w:r>
          </w:p>
        </w:tc>
        <w:tc>
          <w:tcPr>
            <w:tcW w:w="3351"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统计指标</w:t>
            </w:r>
          </w:p>
        </w:tc>
        <w:tc>
          <w:tcPr>
            <w:tcW w:w="709"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目标</w:t>
            </w:r>
          </w:p>
        </w:tc>
        <w:tc>
          <w:tcPr>
            <w:tcW w:w="1134"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restart"/>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血防健康教育—教师培训人次（人次）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151</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血防健康教育—血防健康宣传栏（次）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204</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血防健康教育—血防知识考试（次）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35800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35800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全国性艺术竞赛活动获奖（个）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上一届全国性艺术竞赛活动获奖（个）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全国性体育竞赛活动（不含校园足球类）获奖（个）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上一届全国性体育竞赛活动（不含校园足球类）获奖（个）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体育赛事发生事故（次）</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体质健康达标且为优良等级的学生数（人）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14370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14370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体质健康测评学生数（人）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59360</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59360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668"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学生资助</w:t>
            </w:r>
          </w:p>
        </w:tc>
        <w:tc>
          <w:tcPr>
            <w:tcW w:w="2460"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学生资助专项</w:t>
            </w:r>
            <w:r>
              <w:rPr>
                <w:rFonts w:ascii="仿宋_GB2312" w:hAnsi="仿宋_GB2312" w:eastAsia="仿宋_GB2312" w:cs="仿宋_GB2312"/>
                <w:szCs w:val="21"/>
              </w:rPr>
              <w:t>-国家助学贷款贴息及风险补偿</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资助学生人数（人）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1668" w:type="dxa"/>
            <w:vMerge w:val="continue"/>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学生资助专项</w:t>
            </w:r>
            <w:r>
              <w:rPr>
                <w:rFonts w:ascii="仿宋_GB2312" w:hAnsi="仿宋_GB2312" w:eastAsia="仿宋_GB2312" w:cs="仿宋_GB2312"/>
                <w:szCs w:val="21"/>
              </w:rPr>
              <w:t>-普通高校毕业生贫困地区基层单位就业学费补偿</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资助学生人数（人）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覆盖贫困县（个）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668" w:type="dxa"/>
            <w:vMerge w:val="continue"/>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留学生奖学金</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获奖人数（人）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ascii="仿宋_GB2312" w:hAnsi="仿宋_GB2312" w:eastAsia="仿宋_GB2312" w:cs="仿宋_GB2312"/>
                <w:szCs w:val="21"/>
              </w:rPr>
              <w:t>19年获奖留学生继续学习的人数（人）</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4128"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湖南省教育科学规划课题</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课题立项数（个）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w:t>
            </w:r>
          </w:p>
        </w:tc>
        <w:tc>
          <w:tcPr>
            <w:tcW w:w="1134"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4128" w:type="dxa"/>
            <w:gridSpan w:val="2"/>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课题研究成果数（项）</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w:t>
            </w:r>
          </w:p>
        </w:tc>
        <w:tc>
          <w:tcPr>
            <w:tcW w:w="1134"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4128" w:type="dxa"/>
            <w:gridSpan w:val="2"/>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结题合格的课题数（个）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w:t>
            </w:r>
          </w:p>
        </w:tc>
        <w:tc>
          <w:tcPr>
            <w:tcW w:w="1134"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教育综合管理机制改革</w:t>
            </w: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教育体制改革试点项目</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建设项目数（个）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建设完成项目数（个）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bl>
    <w:p>
      <w:pPr>
        <w:spacing w:line="20" w:lineRule="exact"/>
        <w:rPr>
          <w:rFonts w:ascii="仿宋_GB2312" w:hAnsi="仿宋_GB2312" w:eastAsia="仿宋_GB2312" w:cs="仿宋_GB2312"/>
          <w:szCs w:val="21"/>
        </w:rPr>
      </w:pPr>
      <w:r>
        <w:rPr>
          <w:rFonts w:ascii="仿宋_GB2312" w:hAnsi="仿宋_GB2312" w:eastAsia="仿宋_GB2312" w:cs="仿宋_GB2312"/>
          <w:szCs w:val="21"/>
        </w:rPr>
        <w:br w:type="page"/>
      </w:r>
    </w:p>
    <w:tbl>
      <w:tblPr>
        <w:tblStyle w:val="1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460"/>
        <w:gridCol w:w="3351"/>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blHeader/>
        </w:trPr>
        <w:tc>
          <w:tcPr>
            <w:tcW w:w="4128" w:type="dxa"/>
            <w:gridSpan w:val="2"/>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项目名称</w:t>
            </w:r>
          </w:p>
        </w:tc>
        <w:tc>
          <w:tcPr>
            <w:tcW w:w="3351"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统计指标</w:t>
            </w:r>
          </w:p>
        </w:tc>
        <w:tc>
          <w:tcPr>
            <w:tcW w:w="709"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目标</w:t>
            </w:r>
          </w:p>
        </w:tc>
        <w:tc>
          <w:tcPr>
            <w:tcW w:w="1134" w:type="dxa"/>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restart"/>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教育督导评估奖励</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县级教育工作“两项督导评估考核”县市区（个）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省示范性普通高中督导评估（所）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民办高校党建专项</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已建立党组织的民办学校数（所）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有</w:t>
            </w:r>
            <w:r>
              <w:rPr>
                <w:rFonts w:ascii="仿宋_GB2312" w:hAnsi="仿宋_GB2312" w:eastAsia="仿宋_GB2312" w:cs="仿宋_GB2312"/>
                <w:szCs w:val="21"/>
              </w:rPr>
              <w:t>3名以上正式党员的民办学校数（所）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党务工作人员数量达标的民办学校数（所）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1668" w:type="dxa"/>
            <w:vMerge w:val="continue"/>
            <w:vAlign w:val="center"/>
          </w:tcPr>
          <w:p>
            <w:pPr>
              <w:rPr>
                <w:rFonts w:ascii="仿宋_GB2312" w:hAnsi="仿宋_GB2312" w:eastAsia="仿宋_GB2312" w:cs="仿宋_GB2312"/>
                <w:szCs w:val="21"/>
              </w:rPr>
            </w:pPr>
          </w:p>
        </w:tc>
        <w:tc>
          <w:tcPr>
            <w:tcW w:w="2460" w:type="dxa"/>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平安校园建设</w:t>
            </w: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新立项平安高校（所）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平安校园建设先进县市区（个）</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1</w:t>
            </w:r>
          </w:p>
        </w:tc>
        <w:tc>
          <w:tcPr>
            <w:tcW w:w="1134"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实施期满的平安高校（所）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668" w:type="dxa"/>
            <w:vMerge w:val="continue"/>
            <w:vAlign w:val="center"/>
          </w:tcPr>
          <w:p>
            <w:pPr>
              <w:rPr>
                <w:rFonts w:ascii="仿宋_GB2312" w:hAnsi="仿宋_GB2312" w:eastAsia="仿宋_GB2312" w:cs="仿宋_GB2312"/>
                <w:szCs w:val="21"/>
              </w:rPr>
            </w:pPr>
          </w:p>
        </w:tc>
        <w:tc>
          <w:tcPr>
            <w:tcW w:w="2460" w:type="dxa"/>
            <w:vMerge w:val="continue"/>
            <w:vAlign w:val="center"/>
          </w:tcPr>
          <w:p>
            <w:pPr>
              <w:rPr>
                <w:rFonts w:ascii="仿宋_GB2312" w:hAnsi="仿宋_GB2312" w:eastAsia="仿宋_GB2312" w:cs="仿宋_GB2312"/>
                <w:szCs w:val="21"/>
              </w:rPr>
            </w:pPr>
          </w:p>
        </w:tc>
        <w:tc>
          <w:tcPr>
            <w:tcW w:w="335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验收合格的平安高校（所）</w:t>
            </w:r>
          </w:p>
        </w:tc>
        <w:tc>
          <w:tcPr>
            <w:tcW w:w="709"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c>
          <w:tcPr>
            <w:tcW w:w="1134"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w:t>
            </w:r>
          </w:p>
        </w:tc>
      </w:tr>
    </w:tbl>
    <w:p>
      <w:pPr>
        <w:outlineLvl w:val="2"/>
        <w:rPr>
          <w:rFonts w:ascii="黑体" w:hAnsi="黑体" w:eastAsia="黑体" w:cs="黑体"/>
          <w:sz w:val="32"/>
          <w:szCs w:val="32"/>
        </w:rPr>
      </w:pPr>
    </w:p>
    <w:p>
      <w:pPr>
        <w:outlineLvl w:val="2"/>
        <w:rPr>
          <w:rFonts w:ascii="黑体" w:hAnsi="黑体" w:eastAsia="黑体" w:cs="黑体"/>
          <w:sz w:val="32"/>
          <w:szCs w:val="32"/>
        </w:rPr>
        <w:sectPr>
          <w:pgSz w:w="11906" w:h="16838"/>
          <w:pgMar w:top="1440" w:right="1803" w:bottom="1440" w:left="1803" w:header="851" w:footer="992" w:gutter="0"/>
          <w:cols w:space="0" w:num="1"/>
          <w:docGrid w:linePitch="319" w:charSpace="0"/>
        </w:sectPr>
      </w:pPr>
    </w:p>
    <w:p>
      <w:pPr>
        <w:outlineLvl w:val="2"/>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7-2</w:t>
      </w:r>
    </w:p>
    <w:p>
      <w:pPr>
        <w:outlineLvl w:val="2"/>
        <w:rPr>
          <w:rFonts w:ascii="黑体" w:hAnsi="黑体" w:eastAsia="黑体" w:cs="黑体"/>
          <w:sz w:val="32"/>
          <w:szCs w:val="32"/>
        </w:rPr>
      </w:pPr>
    </w:p>
    <w:p>
      <w:pPr>
        <w:pStyle w:val="3"/>
        <w:widowControl/>
        <w:tabs>
          <w:tab w:val="center" w:pos="4150"/>
        </w:tabs>
        <w:spacing w:before="0" w:after="0" w:line="570" w:lineRule="exact"/>
        <w:jc w:val="center"/>
        <w:rPr>
          <w:rFonts w:ascii="方正小标宋简体" w:hAnsi="微软雅黑" w:eastAsia="方正小标宋简体" w:cs="方正小标宋_GBK"/>
          <w:b w:val="0"/>
          <w:sz w:val="44"/>
          <w:szCs w:val="44"/>
        </w:rPr>
      </w:pPr>
      <w:r>
        <w:rPr>
          <w:rFonts w:ascii="方正小标宋简体" w:hAnsi="微软雅黑" w:eastAsia="方正小标宋简体" w:cs="方正小标宋_GBK"/>
          <w:b w:val="0"/>
          <w:sz w:val="44"/>
          <w:szCs w:val="44"/>
        </w:rPr>
        <w:t>2020年度教育综合发展专项绩效评价指标评分表</w:t>
      </w:r>
    </w:p>
    <w:p>
      <w:pPr>
        <w:outlineLvl w:val="2"/>
        <w:rPr>
          <w:rFonts w:ascii="黑体" w:hAnsi="黑体" w:eastAsia="黑体" w:cs="黑体"/>
          <w:sz w:val="32"/>
          <w:szCs w:val="32"/>
        </w:rPr>
      </w:pPr>
    </w:p>
    <w:tbl>
      <w:tblPr>
        <w:tblStyle w:val="11"/>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854"/>
        <w:gridCol w:w="1072"/>
        <w:gridCol w:w="2534"/>
        <w:gridCol w:w="850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blHeader/>
        </w:trPr>
        <w:tc>
          <w:tcPr>
            <w:tcW w:w="26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指标名称</w:t>
            </w:r>
          </w:p>
        </w:tc>
        <w:tc>
          <w:tcPr>
            <w:tcW w:w="25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指标说明</w:t>
            </w:r>
          </w:p>
        </w:tc>
        <w:tc>
          <w:tcPr>
            <w:tcW w:w="85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评分标准</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atLeast"/>
          <w:tblHeader/>
        </w:trPr>
        <w:tc>
          <w:tcPr>
            <w:tcW w:w="7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一级指标</w:t>
            </w:r>
          </w:p>
        </w:tc>
        <w:tc>
          <w:tcPr>
            <w:tcW w:w="85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二级</w:t>
            </w:r>
          </w:p>
          <w:p>
            <w:pPr>
              <w:jc w:val="center"/>
              <w:rPr>
                <w:rFonts w:ascii="仿宋_GB2312" w:hAnsi="仿宋_GB2312" w:eastAsia="仿宋_GB2312" w:cs="仿宋_GB2312"/>
                <w:szCs w:val="21"/>
              </w:rPr>
            </w:pPr>
            <w:r>
              <w:rPr>
                <w:rFonts w:ascii="仿宋_GB2312" w:hAnsi="仿宋_GB2312" w:eastAsia="仿宋_GB2312" w:cs="仿宋_GB2312"/>
                <w:szCs w:val="21"/>
              </w:rPr>
              <w:t>指标</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三级指标</w:t>
            </w:r>
          </w:p>
        </w:tc>
        <w:tc>
          <w:tcPr>
            <w:tcW w:w="25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0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0" w:hRule="atLeast"/>
        </w:trPr>
        <w:tc>
          <w:tcPr>
            <w:tcW w:w="7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决策（</w:t>
            </w:r>
            <w:r>
              <w:rPr>
                <w:rFonts w:ascii="仿宋_GB2312" w:hAnsi="仿宋_GB2312" w:eastAsia="仿宋_GB2312" w:cs="仿宋_GB2312"/>
                <w:szCs w:val="21"/>
              </w:rPr>
              <w:t>14分）</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项目立项（</w:t>
            </w:r>
            <w:r>
              <w:rPr>
                <w:rFonts w:ascii="仿宋_GB2312" w:hAnsi="仿宋_GB2312" w:eastAsia="仿宋_GB2312" w:cs="仿宋_GB2312"/>
                <w:szCs w:val="21"/>
              </w:rPr>
              <w:t>6分）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立项依据充分性（</w:t>
            </w:r>
            <w:r>
              <w:rPr>
                <w:rFonts w:ascii="仿宋_GB2312" w:hAnsi="仿宋_GB2312" w:eastAsia="仿宋_GB2312" w:cs="仿宋_GB2312"/>
                <w:szCs w:val="21"/>
              </w:rPr>
              <w:t>3分）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项目立项是否符合法律法规、相关政策、发展规划以及部门职责，用以反映和考核项目立项的依据情况。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①项目立项是否符合国家法律法规、国民经济发展规划和相关政策；</w:t>
            </w:r>
          </w:p>
          <w:p>
            <w:pPr>
              <w:rPr>
                <w:rFonts w:ascii="仿宋_GB2312" w:hAnsi="仿宋_GB2312" w:eastAsia="仿宋_GB2312" w:cs="仿宋_GB2312"/>
                <w:szCs w:val="21"/>
              </w:rPr>
            </w:pPr>
            <w:r>
              <w:rPr>
                <w:rFonts w:hint="eastAsia" w:ascii="仿宋_GB2312" w:hAnsi="仿宋_GB2312" w:eastAsia="仿宋_GB2312" w:cs="仿宋_GB2312"/>
                <w:szCs w:val="21"/>
              </w:rPr>
              <w:t>②项目立项是否符合行业发展规划和政策要求；</w:t>
            </w:r>
            <w:r>
              <w:rPr>
                <w:rFonts w:ascii="仿宋_GB2312" w:hAnsi="仿宋_GB2312" w:eastAsia="仿宋_GB2312" w:cs="仿宋_GB2312"/>
                <w:szCs w:val="21"/>
              </w:rPr>
              <w:br w:type="textWrapping"/>
            </w:r>
            <w:r>
              <w:rPr>
                <w:rFonts w:hint="eastAsia" w:ascii="仿宋_GB2312" w:hAnsi="仿宋_GB2312" w:eastAsia="仿宋_GB2312" w:cs="仿宋_GB2312"/>
                <w:szCs w:val="21"/>
              </w:rPr>
              <w:t>③项目立项是否与部门职责范围相符，属于部门履职所需；</w:t>
            </w:r>
            <w:r>
              <w:rPr>
                <w:rFonts w:ascii="仿宋_GB2312" w:hAnsi="仿宋_GB2312" w:eastAsia="仿宋_GB2312" w:cs="仿宋_GB2312"/>
                <w:szCs w:val="21"/>
              </w:rPr>
              <w:br w:type="textWrapping"/>
            </w:r>
            <w:r>
              <w:rPr>
                <w:rFonts w:hint="eastAsia" w:ascii="仿宋_GB2312" w:hAnsi="仿宋_GB2312" w:eastAsia="仿宋_GB2312" w:cs="仿宋_GB2312"/>
                <w:szCs w:val="21"/>
              </w:rPr>
              <w:t>④项目是否与相关部门同类项目或部门内部相关项目重复。</w:t>
            </w:r>
            <w:r>
              <w:rPr>
                <w:rFonts w:ascii="仿宋_GB2312" w:hAnsi="仿宋_GB2312" w:eastAsia="仿宋_GB2312" w:cs="仿宋_GB2312"/>
                <w:szCs w:val="21"/>
              </w:rPr>
              <w:br w:type="textWrapping"/>
            </w:r>
            <w:r>
              <w:rPr>
                <w:rFonts w:hint="eastAsia" w:ascii="仿宋_GB2312" w:hAnsi="仿宋_GB2312" w:eastAsia="仿宋_GB2312" w:cs="仿宋_GB2312"/>
                <w:szCs w:val="21"/>
              </w:rPr>
              <w:t>每发现一例不符的扣</w:t>
            </w:r>
            <w:r>
              <w:rPr>
                <w:rFonts w:ascii="仿宋_GB2312" w:hAnsi="仿宋_GB2312" w:eastAsia="仿宋_GB2312" w:cs="仿宋_GB2312"/>
                <w:szCs w:val="21"/>
              </w:rPr>
              <w:t>0.5分，扣完为止。</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5"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立项程序规范性（</w:t>
            </w:r>
            <w:r>
              <w:rPr>
                <w:rFonts w:ascii="仿宋_GB2312" w:hAnsi="仿宋_GB2312" w:eastAsia="仿宋_GB2312" w:cs="仿宋_GB2312"/>
                <w:szCs w:val="21"/>
              </w:rPr>
              <w:t>3分）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项目申请、设立过程是否符合相关要求，用以反映和考核项目立项的规范情况。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①项目是否按照规定的程序申请设立；</w:t>
            </w:r>
            <w:r>
              <w:rPr>
                <w:rFonts w:ascii="仿宋_GB2312" w:hAnsi="仿宋_GB2312" w:eastAsia="仿宋_GB2312" w:cs="仿宋_GB2312"/>
                <w:szCs w:val="21"/>
              </w:rPr>
              <w:br w:type="textWrapping"/>
            </w:r>
            <w:r>
              <w:rPr>
                <w:rFonts w:hint="eastAsia" w:ascii="仿宋_GB2312" w:hAnsi="仿宋_GB2312" w:eastAsia="仿宋_GB2312" w:cs="仿宋_GB2312"/>
                <w:szCs w:val="21"/>
              </w:rPr>
              <w:t>②审批文件、材料是否符合相关要求；</w:t>
            </w:r>
            <w:r>
              <w:rPr>
                <w:rFonts w:ascii="仿宋_GB2312" w:hAnsi="仿宋_GB2312" w:eastAsia="仿宋_GB2312" w:cs="仿宋_GB2312"/>
                <w:szCs w:val="21"/>
              </w:rPr>
              <w:br w:type="textWrapping"/>
            </w:r>
            <w:r>
              <w:rPr>
                <w:rFonts w:hint="eastAsia" w:ascii="仿宋_GB2312" w:hAnsi="仿宋_GB2312" w:eastAsia="仿宋_GB2312" w:cs="仿宋_GB2312"/>
                <w:szCs w:val="21"/>
              </w:rPr>
              <w:t>③事前是否已经过必要的可行性研究、专家论证、风险评估、绩效评估、集体决策。</w:t>
            </w:r>
            <w:r>
              <w:rPr>
                <w:rFonts w:ascii="仿宋_GB2312" w:hAnsi="仿宋_GB2312" w:eastAsia="仿宋_GB2312" w:cs="仿宋_GB2312"/>
                <w:szCs w:val="21"/>
              </w:rPr>
              <w:br w:type="textWrapping"/>
            </w:r>
            <w:r>
              <w:rPr>
                <w:rFonts w:hint="eastAsia" w:ascii="仿宋_GB2312" w:hAnsi="仿宋_GB2312" w:eastAsia="仿宋_GB2312" w:cs="仿宋_GB2312"/>
                <w:szCs w:val="21"/>
              </w:rPr>
              <w:t>每发现一例不符的扣</w:t>
            </w:r>
            <w:r>
              <w:rPr>
                <w:rFonts w:ascii="仿宋_GB2312" w:hAnsi="仿宋_GB2312" w:eastAsia="仿宋_GB2312" w:cs="仿宋_GB2312"/>
                <w:szCs w:val="21"/>
              </w:rPr>
              <w:t>0.5分，扣完为止。</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3"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绩效目标（</w:t>
            </w:r>
            <w:r>
              <w:rPr>
                <w:rFonts w:ascii="仿宋_GB2312" w:hAnsi="仿宋_GB2312" w:eastAsia="仿宋_GB2312" w:cs="仿宋_GB2312"/>
                <w:szCs w:val="21"/>
              </w:rPr>
              <w:t>4分）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绩效目标合理性（</w:t>
            </w:r>
            <w:r>
              <w:rPr>
                <w:rFonts w:ascii="仿宋_GB2312" w:hAnsi="仿宋_GB2312" w:eastAsia="仿宋_GB2312" w:cs="仿宋_GB2312"/>
                <w:szCs w:val="21"/>
              </w:rPr>
              <w:t>2分）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项目所设定的绩效目标是否依据充分，是否符合客观实际，用以反映和考核项目绩效目标与项目实施的相符情况。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①是否设置绩效目标或相关的工作任务目标；</w:t>
            </w:r>
            <w:r>
              <w:rPr>
                <w:rFonts w:ascii="仿宋_GB2312" w:hAnsi="仿宋_GB2312" w:eastAsia="仿宋_GB2312" w:cs="仿宋_GB2312"/>
                <w:szCs w:val="21"/>
              </w:rPr>
              <w:br w:type="textWrapping"/>
            </w:r>
            <w:r>
              <w:rPr>
                <w:rFonts w:hint="eastAsia" w:ascii="仿宋_GB2312" w:hAnsi="仿宋_GB2312" w:eastAsia="仿宋_GB2312" w:cs="仿宋_GB2312"/>
                <w:szCs w:val="21"/>
              </w:rPr>
              <w:t>②目标是否符合国家相关法律法规、国民经济发展规划和省委省政府重大部署；</w:t>
            </w:r>
            <w:r>
              <w:rPr>
                <w:rFonts w:ascii="仿宋_GB2312" w:hAnsi="仿宋_GB2312" w:eastAsia="仿宋_GB2312" w:cs="仿宋_GB2312"/>
                <w:szCs w:val="21"/>
              </w:rPr>
              <w:br w:type="textWrapping"/>
            </w:r>
            <w:r>
              <w:rPr>
                <w:rFonts w:hint="eastAsia" w:ascii="仿宋_GB2312" w:hAnsi="仿宋_GB2312" w:eastAsia="仿宋_GB2312" w:cs="仿宋_GB2312"/>
                <w:szCs w:val="21"/>
              </w:rPr>
              <w:t>③是否与实际工作内容具有相关性；</w:t>
            </w:r>
            <w:r>
              <w:rPr>
                <w:rFonts w:ascii="仿宋_GB2312" w:hAnsi="仿宋_GB2312" w:eastAsia="仿宋_GB2312" w:cs="仿宋_GB2312"/>
                <w:szCs w:val="21"/>
              </w:rPr>
              <w:br w:type="textWrapping"/>
            </w:r>
            <w:r>
              <w:rPr>
                <w:rFonts w:hint="eastAsia" w:ascii="仿宋_GB2312" w:hAnsi="仿宋_GB2312" w:eastAsia="仿宋_GB2312" w:cs="仿宋_GB2312"/>
                <w:szCs w:val="21"/>
              </w:rPr>
              <w:t>④是否与预算确定的项目投资额或资金量相匹配。</w:t>
            </w:r>
            <w:r>
              <w:rPr>
                <w:rFonts w:ascii="仿宋_GB2312" w:hAnsi="仿宋_GB2312" w:eastAsia="仿宋_GB2312" w:cs="仿宋_GB2312"/>
                <w:szCs w:val="21"/>
              </w:rPr>
              <w:br w:type="textWrapping"/>
            </w:r>
            <w:r>
              <w:rPr>
                <w:rFonts w:hint="eastAsia" w:ascii="仿宋_GB2312" w:hAnsi="仿宋_GB2312" w:eastAsia="仿宋_GB2312" w:cs="仿宋_GB2312"/>
                <w:szCs w:val="21"/>
              </w:rPr>
              <w:t>每发现一例不符的扣</w:t>
            </w:r>
            <w:r>
              <w:rPr>
                <w:rFonts w:ascii="仿宋_GB2312" w:hAnsi="仿宋_GB2312" w:eastAsia="仿宋_GB2312" w:cs="仿宋_GB2312"/>
                <w:szCs w:val="21"/>
              </w:rPr>
              <w:t>0.5分，扣完为止。</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6"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绩效指标明确性（</w:t>
            </w:r>
            <w:r>
              <w:rPr>
                <w:rFonts w:ascii="仿宋_GB2312" w:hAnsi="仿宋_GB2312" w:eastAsia="仿宋_GB2312" w:cs="仿宋_GB2312"/>
                <w:szCs w:val="21"/>
              </w:rPr>
              <w:t>2分）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依据绩效目标设定的绩效指标是否清晰、细化、可衡量等，用以反映绩效目标的明细化情况。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①绩效目标是否从数量、质量、时效以及经济效益、社会效益、生态效益、可持续影响、满意度等方面进行细化、分解；</w:t>
            </w:r>
            <w:r>
              <w:rPr>
                <w:rFonts w:ascii="仿宋_GB2312" w:hAnsi="仿宋_GB2312" w:eastAsia="仿宋_GB2312" w:cs="仿宋_GB2312"/>
                <w:szCs w:val="21"/>
              </w:rPr>
              <w:br w:type="textWrapping"/>
            </w:r>
            <w:r>
              <w:rPr>
                <w:rFonts w:hint="eastAsia" w:ascii="仿宋_GB2312" w:hAnsi="仿宋_GB2312" w:eastAsia="仿宋_GB2312" w:cs="仿宋_GB2312"/>
                <w:szCs w:val="21"/>
              </w:rPr>
              <w:t>②是否通过清晰、可衡量的指标值予以体现，尽量进行定量表述，不能以量化形式表述的，采用定性形式表述；</w:t>
            </w:r>
            <w:r>
              <w:rPr>
                <w:rFonts w:ascii="仿宋_GB2312" w:hAnsi="仿宋_GB2312" w:eastAsia="仿宋_GB2312" w:cs="仿宋_GB2312"/>
                <w:szCs w:val="21"/>
              </w:rPr>
              <w:br w:type="textWrapping"/>
            </w:r>
            <w:r>
              <w:rPr>
                <w:rFonts w:hint="eastAsia" w:ascii="仿宋_GB2312" w:hAnsi="仿宋_GB2312" w:eastAsia="仿宋_GB2312" w:cs="仿宋_GB2312"/>
                <w:szCs w:val="21"/>
              </w:rPr>
              <w:t>③是否与目标任务数或工作计划数相对应。</w:t>
            </w:r>
            <w:r>
              <w:rPr>
                <w:rFonts w:ascii="仿宋_GB2312" w:hAnsi="仿宋_GB2312" w:eastAsia="仿宋_GB2312" w:cs="仿宋_GB2312"/>
                <w:szCs w:val="21"/>
              </w:rPr>
              <w:br w:type="textWrapping"/>
            </w:r>
            <w:r>
              <w:rPr>
                <w:rFonts w:hint="eastAsia" w:ascii="仿宋_GB2312" w:hAnsi="仿宋_GB2312" w:eastAsia="仿宋_GB2312" w:cs="仿宋_GB2312"/>
                <w:szCs w:val="21"/>
              </w:rPr>
              <w:t>每发现一项不符的扣</w:t>
            </w:r>
            <w:r>
              <w:rPr>
                <w:rFonts w:ascii="仿宋_GB2312" w:hAnsi="仿宋_GB2312" w:eastAsia="仿宋_GB2312" w:cs="仿宋_GB2312"/>
                <w:szCs w:val="21"/>
              </w:rPr>
              <w:t>0.5分，扣完为止。</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2"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资金投入（</w:t>
            </w:r>
            <w:r>
              <w:rPr>
                <w:rFonts w:ascii="仿宋_GB2312" w:hAnsi="仿宋_GB2312" w:eastAsia="仿宋_GB2312" w:cs="仿宋_GB2312"/>
                <w:szCs w:val="21"/>
              </w:rPr>
              <w:t>4分）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预算编制科学性（</w:t>
            </w:r>
            <w:r>
              <w:rPr>
                <w:rFonts w:ascii="仿宋_GB2312" w:hAnsi="仿宋_GB2312" w:eastAsia="仿宋_GB2312" w:cs="仿宋_GB2312"/>
                <w:szCs w:val="21"/>
              </w:rPr>
              <w:t>2分）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项目预算编制是否经过科学论证、有明确标准，资金额度与年度目标是否相适应，用以反映和考核项目预算编制的科学性、合理性情况。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①预算编制是否经过科学论证；</w:t>
            </w:r>
            <w:r>
              <w:rPr>
                <w:rFonts w:ascii="仿宋_GB2312" w:hAnsi="仿宋_GB2312" w:eastAsia="仿宋_GB2312" w:cs="仿宋_GB2312"/>
                <w:szCs w:val="21"/>
              </w:rPr>
              <w:br w:type="textWrapping"/>
            </w:r>
            <w:r>
              <w:rPr>
                <w:rFonts w:hint="eastAsia" w:ascii="仿宋_GB2312" w:hAnsi="仿宋_GB2312" w:eastAsia="仿宋_GB2312" w:cs="仿宋_GB2312"/>
                <w:szCs w:val="21"/>
              </w:rPr>
              <w:t>②预算额度测算依据是否充分，是否按照标准编制；</w:t>
            </w:r>
            <w:r>
              <w:rPr>
                <w:rFonts w:ascii="仿宋_GB2312" w:hAnsi="仿宋_GB2312" w:eastAsia="仿宋_GB2312" w:cs="仿宋_GB2312"/>
                <w:szCs w:val="21"/>
              </w:rPr>
              <w:br w:type="textWrapping"/>
            </w:r>
            <w:r>
              <w:rPr>
                <w:rFonts w:hint="eastAsia" w:ascii="仿宋_GB2312" w:hAnsi="仿宋_GB2312" w:eastAsia="仿宋_GB2312" w:cs="仿宋_GB2312"/>
                <w:szCs w:val="21"/>
              </w:rPr>
              <w:t>③预算确定的资金量是否与工作任务相匹配。</w:t>
            </w:r>
            <w:r>
              <w:rPr>
                <w:rFonts w:ascii="仿宋_GB2312" w:hAnsi="仿宋_GB2312" w:eastAsia="仿宋_GB2312" w:cs="仿宋_GB2312"/>
                <w:szCs w:val="21"/>
              </w:rPr>
              <w:br w:type="textWrapping"/>
            </w:r>
            <w:r>
              <w:rPr>
                <w:rFonts w:hint="eastAsia" w:ascii="仿宋_GB2312" w:hAnsi="仿宋_GB2312" w:eastAsia="仿宋_GB2312" w:cs="仿宋_GB2312"/>
                <w:szCs w:val="21"/>
              </w:rPr>
              <w:t>每发现一例不符的扣</w:t>
            </w:r>
            <w:r>
              <w:rPr>
                <w:rFonts w:ascii="仿宋_GB2312" w:hAnsi="仿宋_GB2312" w:eastAsia="仿宋_GB2312" w:cs="仿宋_GB2312"/>
                <w:szCs w:val="21"/>
              </w:rPr>
              <w:t>0.5分，扣完为止。</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资金分配合理性（</w:t>
            </w:r>
            <w:r>
              <w:rPr>
                <w:rFonts w:ascii="仿宋_GB2312" w:hAnsi="仿宋_GB2312" w:eastAsia="仿宋_GB2312" w:cs="仿宋_GB2312"/>
                <w:szCs w:val="21"/>
              </w:rPr>
              <w:t>2分）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项目预算资金分配是否有测算依据，与项目单位或地方实际是否相适应，用以反映和考核项目预算资金分配的科学性、合理性情况。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①预算资金分配依据是否充分；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②资金分配是否符合专项资金管理办法中关于资金分配的相关规定；</w:t>
            </w:r>
            <w:r>
              <w:rPr>
                <w:rFonts w:ascii="仿宋_GB2312" w:hAnsi="仿宋_GB2312" w:eastAsia="仿宋_GB2312" w:cs="仿宋_GB2312"/>
                <w:szCs w:val="21"/>
              </w:rPr>
              <w:br w:type="textWrapping"/>
            </w:r>
            <w:r>
              <w:rPr>
                <w:rFonts w:hint="eastAsia" w:ascii="仿宋_GB2312" w:hAnsi="仿宋_GB2312" w:eastAsia="仿宋_GB2312" w:cs="仿宋_GB2312"/>
                <w:szCs w:val="21"/>
              </w:rPr>
              <w:t>③资金分配额度是否与项目单位或地方的目标任务相适应。</w:t>
            </w:r>
            <w:r>
              <w:rPr>
                <w:rFonts w:ascii="仿宋_GB2312" w:hAnsi="仿宋_GB2312" w:eastAsia="仿宋_GB2312" w:cs="仿宋_GB2312"/>
                <w:szCs w:val="21"/>
              </w:rPr>
              <w:br w:type="textWrapping"/>
            </w:r>
            <w:r>
              <w:rPr>
                <w:rFonts w:hint="eastAsia" w:ascii="仿宋_GB2312" w:hAnsi="仿宋_GB2312" w:eastAsia="仿宋_GB2312" w:cs="仿宋_GB2312"/>
                <w:szCs w:val="21"/>
              </w:rPr>
              <w:t>每发现一例不符的扣</w:t>
            </w:r>
            <w:r>
              <w:rPr>
                <w:rFonts w:ascii="仿宋_GB2312" w:hAnsi="仿宋_GB2312" w:eastAsia="仿宋_GB2312" w:cs="仿宋_GB2312"/>
                <w:szCs w:val="21"/>
              </w:rPr>
              <w:t>0.5分，扣完为止。</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过程（</w:t>
            </w:r>
            <w:r>
              <w:rPr>
                <w:rFonts w:ascii="仿宋_GB2312" w:hAnsi="仿宋_GB2312" w:eastAsia="仿宋_GB2312" w:cs="仿宋_GB2312"/>
                <w:szCs w:val="21"/>
              </w:rPr>
              <w:t>24分）</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资金管理（</w:t>
            </w:r>
            <w:r>
              <w:rPr>
                <w:rFonts w:ascii="仿宋_GB2312" w:hAnsi="仿宋_GB2312" w:eastAsia="仿宋_GB2312" w:cs="仿宋_GB2312"/>
                <w:szCs w:val="21"/>
              </w:rPr>
              <w:t>12分）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资金到位率（</w:t>
            </w:r>
            <w:r>
              <w:rPr>
                <w:rFonts w:ascii="仿宋_GB2312" w:hAnsi="仿宋_GB2312" w:eastAsia="仿宋_GB2312" w:cs="仿宋_GB2312"/>
                <w:szCs w:val="21"/>
              </w:rPr>
              <w:t>3分）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实际到位资金与预算资金的比率，用以反映和考核专项资金落实情况对项目实施的总体保障程度。</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每发现一笔未在</w:t>
            </w:r>
            <w:r>
              <w:rPr>
                <w:rFonts w:ascii="仿宋_GB2312" w:hAnsi="仿宋_GB2312" w:eastAsia="仿宋_GB2312" w:cs="仿宋_GB2312"/>
                <w:szCs w:val="21"/>
              </w:rPr>
              <w:t>3个月内全额到位的资金，扣0.1分；</w:t>
            </w:r>
            <w:r>
              <w:rPr>
                <w:rFonts w:ascii="仿宋_GB2312" w:hAnsi="仿宋_GB2312" w:eastAsia="仿宋_GB2312" w:cs="仿宋_GB2312"/>
                <w:szCs w:val="21"/>
              </w:rPr>
              <w:br w:type="textWrapping"/>
            </w:r>
            <w:r>
              <w:rPr>
                <w:rFonts w:hint="eastAsia" w:ascii="仿宋_GB2312" w:hAnsi="仿宋_GB2312" w:eastAsia="仿宋_GB2312" w:cs="仿宋_GB2312"/>
                <w:szCs w:val="21"/>
              </w:rPr>
              <w:t>以省财政厅指标文的下达时间开始计算。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预算执行率（</w:t>
            </w:r>
            <w:r>
              <w:rPr>
                <w:rFonts w:ascii="仿宋_GB2312" w:hAnsi="仿宋_GB2312" w:eastAsia="仿宋_GB2312" w:cs="仿宋_GB2312"/>
                <w:szCs w:val="21"/>
              </w:rPr>
              <w:t>3分）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预算资金是否按照计划执行，用以反映或考核专项资金的预算执行情况。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预算执行率≥</w:t>
            </w:r>
            <w:r>
              <w:rPr>
                <w:rFonts w:ascii="仿宋_GB2312" w:hAnsi="仿宋_GB2312" w:eastAsia="仿宋_GB2312" w:cs="仿宋_GB2312"/>
                <w:szCs w:val="21"/>
              </w:rPr>
              <w:t>95%，得满分；否则，90%≤预算执行率＜95%，得2.5分；85%≤预算执行率＜90%，得2分；80%≤预算执行率＜85%，得1.5分；75%≤预算执行率＜80%，得1分；预算执行率＜75%，得0分；</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计算公式：预算执行率</w:t>
            </w:r>
            <w:r>
              <w:rPr>
                <w:rFonts w:ascii="仿宋_GB2312" w:hAnsi="仿宋_GB2312" w:eastAsia="仿宋_GB2312" w:cs="仿宋_GB2312"/>
                <w:szCs w:val="21"/>
              </w:rPr>
              <w:t>=（实际支出资金/实际到位资金）×100%。</w:t>
            </w:r>
            <w:r>
              <w:rPr>
                <w:rFonts w:ascii="仿宋_GB2312" w:hAnsi="仿宋_GB2312" w:eastAsia="仿宋_GB2312" w:cs="仿宋_GB2312"/>
                <w:szCs w:val="21"/>
              </w:rPr>
              <w:br w:type="textWrapping"/>
            </w:r>
            <w:r>
              <w:rPr>
                <w:rFonts w:hint="eastAsia" w:ascii="仿宋_GB2312" w:hAnsi="仿宋_GB2312" w:eastAsia="仿宋_GB2312" w:cs="仿宋_GB2312"/>
                <w:szCs w:val="21"/>
              </w:rPr>
              <w:t>实际支出资金：截止测试日通过财政部门实际拨付的资金。</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资金使用合规性（</w:t>
            </w:r>
            <w:r>
              <w:rPr>
                <w:rFonts w:ascii="仿宋_GB2312" w:hAnsi="仿宋_GB2312" w:eastAsia="仿宋_GB2312" w:cs="仿宋_GB2312"/>
                <w:szCs w:val="21"/>
              </w:rPr>
              <w:t>6分）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资金使用是否符合相关的财务管理制度规定，用以反映和考核项目使用资金的规范运行情况。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①资金使用符合国家财经法规和财务管理制度以及有关专项资金管理办法的规定，得</w:t>
            </w:r>
            <w:r>
              <w:rPr>
                <w:rFonts w:ascii="仿宋_GB2312" w:hAnsi="仿宋_GB2312" w:eastAsia="仿宋_GB2312" w:cs="仿宋_GB2312"/>
                <w:szCs w:val="21"/>
              </w:rPr>
              <w:t>2分；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②资金使用符合项目预算批复或合同规定的用途，得</w:t>
            </w:r>
            <w:r>
              <w:rPr>
                <w:rFonts w:ascii="仿宋_GB2312" w:hAnsi="仿宋_GB2312" w:eastAsia="仿宋_GB2312" w:cs="仿宋_GB2312"/>
                <w:szCs w:val="21"/>
              </w:rPr>
              <w:t>2分；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③资金使用不存在截留、挤占、挪用、虚列支出等情况，得</w:t>
            </w:r>
            <w:r>
              <w:rPr>
                <w:rFonts w:ascii="仿宋_GB2312" w:hAnsi="仿宋_GB2312" w:eastAsia="仿宋_GB2312" w:cs="仿宋_GB2312"/>
                <w:szCs w:val="21"/>
              </w:rPr>
              <w:t>2分。</w:t>
            </w:r>
            <w:r>
              <w:rPr>
                <w:rFonts w:ascii="仿宋_GB2312" w:hAnsi="仿宋_GB2312" w:eastAsia="仿宋_GB2312" w:cs="仿宋_GB2312"/>
                <w:szCs w:val="21"/>
              </w:rPr>
              <w:br w:type="textWrapping"/>
            </w:r>
            <w:r>
              <w:rPr>
                <w:rFonts w:hint="eastAsia" w:ascii="仿宋_GB2312" w:hAnsi="仿宋_GB2312" w:eastAsia="仿宋_GB2312" w:cs="仿宋_GB2312"/>
                <w:szCs w:val="21"/>
              </w:rPr>
              <w:t>否则，每发现一例不符，扣</w:t>
            </w:r>
            <w:r>
              <w:rPr>
                <w:rFonts w:ascii="仿宋_GB2312" w:hAnsi="仿宋_GB2312" w:eastAsia="仿宋_GB2312" w:cs="仿宋_GB2312"/>
                <w:szCs w:val="21"/>
              </w:rPr>
              <w:t>0.1分。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组织实施（</w:t>
            </w:r>
            <w:r>
              <w:rPr>
                <w:rFonts w:ascii="仿宋_GB2312" w:hAnsi="仿宋_GB2312" w:eastAsia="仿宋_GB2312" w:cs="仿宋_GB2312"/>
                <w:szCs w:val="21"/>
              </w:rPr>
              <w:t>12分）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管理制度健全性（</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项目实施的财务和业务管理制度是否健全，用以反映和考核财务和业务管理制度对项目顺利实施的保障情况。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①主管部门及项目承担单位已制定或具有相应的财务和业务管理制度，得</w:t>
            </w:r>
            <w:r>
              <w:rPr>
                <w:rFonts w:ascii="仿宋_GB2312" w:hAnsi="仿宋_GB2312" w:eastAsia="仿宋_GB2312" w:cs="仿宋_GB2312"/>
                <w:szCs w:val="21"/>
              </w:rPr>
              <w:t>2分，否则，得分=（项目总数-检查发现不符合此标准的项目数）/项目总数*2分；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②主管部门及项目承担单位的财务和业务管理制度健全，得</w:t>
            </w:r>
            <w:r>
              <w:rPr>
                <w:rFonts w:ascii="仿宋_GB2312" w:hAnsi="仿宋_GB2312" w:eastAsia="仿宋_GB2312" w:cs="仿宋_GB2312"/>
                <w:szCs w:val="21"/>
              </w:rPr>
              <w:t>2分，否则，得分=（项目总数-检查发现不符合此标准的项目数）/项目总数*2分。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制度执行有效性（</w:t>
            </w:r>
            <w:r>
              <w:rPr>
                <w:rFonts w:ascii="仿宋_GB2312" w:hAnsi="仿宋_GB2312" w:eastAsia="仿宋_GB2312" w:cs="仿宋_GB2312"/>
                <w:szCs w:val="21"/>
              </w:rPr>
              <w:t>8分）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项目实施的项目管理、财务管理、资金管理、资产管理、项目合作管理、档案管理等，是否按相关管理制度有效执行，用以反映和考核相关管理制度的有效执行情况。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①主管部门及项目承担单位实施项目遵守相关法律法规和相关管理规定，得</w:t>
            </w:r>
            <w:r>
              <w:rPr>
                <w:rFonts w:ascii="仿宋_GB2312" w:hAnsi="仿宋_GB2312" w:eastAsia="仿宋_GB2312" w:cs="仿宋_GB2312"/>
                <w:szCs w:val="21"/>
              </w:rPr>
              <w:t>2分，否则，得分=（项目总数-检查发现不符合此标准的项目数）/项目总数*2分；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②主管部门及项目承担单位实施项目若发生项目调整及支出调整，履行相关审批程序，手续完备，得</w:t>
            </w:r>
            <w:r>
              <w:rPr>
                <w:rFonts w:ascii="仿宋_GB2312" w:hAnsi="仿宋_GB2312" w:eastAsia="仿宋_GB2312" w:cs="仿宋_GB2312"/>
                <w:szCs w:val="21"/>
              </w:rPr>
              <w:t>2分，否则，得分=（项目总数-检查发现不符合此标准的项目数）/项目总数*2分；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③主管部门及项目承担单位对项目合同书、验收报告、技术鉴定等资料及时归档，得</w:t>
            </w:r>
            <w:r>
              <w:rPr>
                <w:rFonts w:ascii="仿宋_GB2312" w:hAnsi="仿宋_GB2312" w:eastAsia="仿宋_GB2312" w:cs="仿宋_GB2312"/>
                <w:szCs w:val="21"/>
              </w:rPr>
              <w:t>1分，否则，得分=（项目总数-检查发现不符合此标准的项目数）/项目总数*1分。</w:t>
            </w:r>
            <w:r>
              <w:rPr>
                <w:rFonts w:ascii="仿宋_GB2312" w:hAnsi="仿宋_GB2312" w:eastAsia="仿宋_GB2312" w:cs="仿宋_GB2312"/>
                <w:szCs w:val="21"/>
              </w:rPr>
              <w:br w:type="textWrapping"/>
            </w:r>
            <w:r>
              <w:rPr>
                <w:rFonts w:hint="eastAsia" w:ascii="仿宋_GB2312" w:hAnsi="仿宋_GB2312" w:eastAsia="仿宋_GB2312" w:cs="仿宋_GB2312"/>
                <w:szCs w:val="21"/>
              </w:rPr>
              <w:t>④项目实施人员、场地设备、信息支撑等，项目单位落实到位，得</w:t>
            </w:r>
            <w:r>
              <w:rPr>
                <w:rFonts w:ascii="仿宋_GB2312" w:hAnsi="仿宋_GB2312" w:eastAsia="仿宋_GB2312" w:cs="仿宋_GB2312"/>
                <w:szCs w:val="21"/>
              </w:rPr>
              <w:t>2分，否则，得分=（项目总数-检查发现不符合此标准的项目数）/项目总数*2分。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9" w:hRule="atLeast"/>
        </w:trPr>
        <w:tc>
          <w:tcPr>
            <w:tcW w:w="7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产出（</w:t>
            </w:r>
            <w:r>
              <w:rPr>
                <w:rFonts w:ascii="仿宋_GB2312" w:hAnsi="仿宋_GB2312" w:eastAsia="仿宋_GB2312" w:cs="仿宋_GB2312"/>
                <w:szCs w:val="21"/>
              </w:rPr>
              <w:t>32分）</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产出数量（</w:t>
            </w:r>
            <w:r>
              <w:rPr>
                <w:rFonts w:ascii="仿宋_GB2312" w:hAnsi="仿宋_GB2312" w:eastAsia="仿宋_GB2312" w:cs="仿宋_GB2312"/>
                <w:szCs w:val="21"/>
              </w:rPr>
              <w:t>16分）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体卫艺及国防教育竞赛（含校园足球）活动覆盖人次（</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体卫艺及国防教育竞赛（含校园足球）活动项目实施所覆盖人员的实际人次与计划人次的比率，反映对“以人为本，全面实施素质教育”理念的执行情况。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体卫艺及国防教育竞赛（含校园足球）活动：包含培训、竞赛、宣传、研讨等多样化的活动形式。</w:t>
            </w:r>
            <w:r>
              <w:rPr>
                <w:rFonts w:ascii="仿宋_GB2312" w:hAnsi="仿宋_GB2312" w:eastAsia="仿宋_GB2312" w:cs="仿宋_GB2312"/>
                <w:szCs w:val="21"/>
              </w:rPr>
              <w:br w:type="textWrapping"/>
            </w:r>
            <w:r>
              <w:rPr>
                <w:rFonts w:hint="eastAsia" w:ascii="仿宋_GB2312" w:hAnsi="仿宋_GB2312" w:eastAsia="仿宋_GB2312" w:cs="仿宋_GB2312"/>
                <w:szCs w:val="21"/>
              </w:rPr>
              <w:t>完成计划目标，得满分；否则，得分</w:t>
            </w:r>
            <w:r>
              <w:rPr>
                <w:rFonts w:ascii="仿宋_GB2312" w:hAnsi="仿宋_GB2312" w:eastAsia="仿宋_GB2312" w:cs="仿宋_GB2312"/>
                <w:szCs w:val="21"/>
              </w:rPr>
              <w:t>=体卫艺及国防教育竞赛（含校园足球）活动项目覆盖人次的实际完成比例*指标分值。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计算公式：实际完成比例</w:t>
            </w:r>
            <w:r>
              <w:rPr>
                <w:rFonts w:ascii="仿宋_GB2312" w:hAnsi="仿宋_GB2312" w:eastAsia="仿宋_GB2312" w:cs="仿宋_GB2312"/>
                <w:szCs w:val="21"/>
              </w:rPr>
              <w:t>=实际完成数量/计划完成数量。</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1"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农村教师公费定向培养支持人数（</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农村教师公费定向培养项目实施所招收乡村教师的实际人数与计划人数的比例，反映专项对省乡村教师支持计划的保障情况。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完成计划目标，得满分；否则，得分</w:t>
            </w:r>
            <w:r>
              <w:rPr>
                <w:rFonts w:ascii="仿宋_GB2312" w:hAnsi="仿宋_GB2312" w:eastAsia="仿宋_GB2312" w:cs="仿宋_GB2312"/>
                <w:szCs w:val="21"/>
              </w:rPr>
              <w:t>=实际完成比例*指标分值。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计算公式：实际完成比例</w:t>
            </w:r>
            <w:r>
              <w:rPr>
                <w:rFonts w:ascii="仿宋_GB2312" w:hAnsi="仿宋_GB2312" w:eastAsia="仿宋_GB2312" w:cs="仿宋_GB2312"/>
                <w:szCs w:val="21"/>
              </w:rPr>
              <w:t>=实际完成人数/计划完成人数。</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0"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民办高校党务工作岗位和人员配备率（</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民办高校党建项目实施所产生的党务工作力量配备达标的实际学校数与计划数的比例，反映专项对民办高校党务工作的保障情况。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完成计划目标，得满分；否则，得分</w:t>
            </w:r>
            <w:r>
              <w:rPr>
                <w:rFonts w:ascii="仿宋_GB2312" w:hAnsi="仿宋_GB2312" w:eastAsia="仿宋_GB2312" w:cs="仿宋_GB2312"/>
                <w:szCs w:val="21"/>
              </w:rPr>
              <w:t>=实际完成比例*指标分值。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计算公式：实际完成比例</w:t>
            </w:r>
            <w:r>
              <w:rPr>
                <w:rFonts w:ascii="仿宋_GB2312" w:hAnsi="仿宋_GB2312" w:eastAsia="仿宋_GB2312" w:cs="仿宋_GB2312"/>
                <w:szCs w:val="21"/>
              </w:rPr>
              <w:t>=实际完成数/计划完成数。</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5"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民族团结示范校及偏远教学点提升项目校数量（</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民族团结教育示范校和偏远教学点提升项目校建设项目实施的实际个数与计划个数的比率，反映对“促进公平，统筹区域教育协调发展并向民族地区倾斜”的政策思想的执行情况。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完成计划目标，得满分；否则，得分</w:t>
            </w:r>
            <w:r>
              <w:rPr>
                <w:rFonts w:ascii="仿宋_GB2312" w:hAnsi="仿宋_GB2312" w:eastAsia="仿宋_GB2312" w:cs="仿宋_GB2312"/>
                <w:szCs w:val="21"/>
              </w:rPr>
              <w:t>=民族团结教育示范校和偏远教学点提升项目校建设项目的实际完成比例*指标分值。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计算公式：实际完成比例</w:t>
            </w:r>
            <w:r>
              <w:rPr>
                <w:rFonts w:ascii="仿宋_GB2312" w:hAnsi="仿宋_GB2312" w:eastAsia="仿宋_GB2312" w:cs="仿宋_GB2312"/>
                <w:szCs w:val="21"/>
              </w:rPr>
              <w:t>=实际完成个数/计划完成个数。</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0"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产出质量（</w:t>
            </w:r>
            <w:r>
              <w:rPr>
                <w:rFonts w:ascii="仿宋_GB2312" w:hAnsi="仿宋_GB2312" w:eastAsia="仿宋_GB2312" w:cs="仿宋_GB2312"/>
                <w:szCs w:val="21"/>
              </w:rPr>
              <w:t>10分）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教师队伍培养人员达标率（</w:t>
            </w:r>
            <w:r>
              <w:rPr>
                <w:rFonts w:ascii="仿宋_GB2312" w:hAnsi="仿宋_GB2312" w:eastAsia="仿宋_GB2312" w:cs="仿宋_GB2312"/>
                <w:szCs w:val="21"/>
              </w:rPr>
              <w:t>6分）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教师队伍建设项目完成所培养的达标教师人数与培养总数的比率，用以反映“提高教师队伍整体素质”战略重点实现的项目质量情况。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教师队伍培养人员达标率达到</w:t>
            </w:r>
            <w:r>
              <w:rPr>
                <w:rFonts w:ascii="仿宋_GB2312" w:hAnsi="仿宋_GB2312" w:eastAsia="仿宋_GB2312" w:cs="仿宋_GB2312"/>
                <w:szCs w:val="21"/>
              </w:rPr>
              <w:t>95%，得满分；否则，得分=教师队伍培养人员达标率/95%*指标分值。。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计算公式：教师队伍培养人员达标率</w:t>
            </w:r>
            <w:r>
              <w:rPr>
                <w:rFonts w:ascii="仿宋_GB2312" w:hAnsi="仿宋_GB2312" w:eastAsia="仿宋_GB2312" w:cs="仿宋_GB2312"/>
                <w:szCs w:val="21"/>
              </w:rPr>
              <w:t>=∑每一类教师队伍培养项目的人员达标率÷项目类别的个数。</w:t>
            </w:r>
            <w:r>
              <w:rPr>
                <w:rFonts w:ascii="仿宋_GB2312" w:hAnsi="仿宋_GB2312" w:eastAsia="仿宋_GB2312" w:cs="仿宋_GB2312"/>
                <w:szCs w:val="21"/>
              </w:rPr>
              <w:br w:type="textWrapping"/>
            </w:r>
            <w:r>
              <w:rPr>
                <w:rFonts w:ascii="仿宋_GB2312" w:hAnsi="仿宋_GB2312" w:eastAsia="仿宋_GB2312" w:cs="仿宋_GB2312"/>
                <w:szCs w:val="21"/>
              </w:rPr>
              <w:t>2020年教师队伍培养项目的人员达标率包括两类情况：①省培计划的学员结业率；②农村教师公费定向培养计划的师范生毕业率。</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3" w:hRule="atLeas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教育信息化建设项目合格率（</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教育信息化建设项目完成的合格项目数与项目总数的比率，用以反映推动教育信息化“三全两高一大”目标实现的项目质量情况。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教育信息化建设项目合格率≥</w:t>
            </w:r>
            <w:r>
              <w:rPr>
                <w:rFonts w:ascii="仿宋_GB2312" w:hAnsi="仿宋_GB2312" w:eastAsia="仿宋_GB2312" w:cs="仿宋_GB2312"/>
                <w:szCs w:val="21"/>
              </w:rPr>
              <w:t>95%，得满分；否则得分=教育信息化建设项目合格率/95%*指标分值。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计算公式：教育信息化建设项目合格率</w:t>
            </w:r>
            <w:r>
              <w:rPr>
                <w:rFonts w:ascii="仿宋_GB2312" w:hAnsi="仿宋_GB2312" w:eastAsia="仿宋_GB2312" w:cs="仿宋_GB2312"/>
                <w:szCs w:val="21"/>
              </w:rPr>
              <w:t>=∑每一类教育信息化建设项目的合格率÷项目类别的个数。</w:t>
            </w:r>
            <w:r>
              <w:rPr>
                <w:rFonts w:ascii="仿宋_GB2312" w:hAnsi="仿宋_GB2312" w:eastAsia="仿宋_GB2312" w:cs="仿宋_GB2312"/>
                <w:szCs w:val="21"/>
              </w:rPr>
              <w:br w:type="textWrapping"/>
            </w:r>
            <w:r>
              <w:rPr>
                <w:rFonts w:hint="eastAsia" w:ascii="仿宋_GB2312" w:hAnsi="仿宋_GB2312" w:eastAsia="仿宋_GB2312" w:cs="仿宋_GB2312"/>
                <w:szCs w:val="21"/>
              </w:rPr>
              <w:t>项目合格率</w:t>
            </w:r>
            <w:r>
              <w:rPr>
                <w:rFonts w:ascii="仿宋_GB2312" w:hAnsi="仿宋_GB2312" w:eastAsia="仿宋_GB2312" w:cs="仿宋_GB2312"/>
                <w:szCs w:val="21"/>
              </w:rPr>
              <w:t>=通过中期评估或验收合格的项目个数/进行中期评估或验收的项目总数。</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产出时效（</w:t>
            </w:r>
            <w:r>
              <w:rPr>
                <w:rFonts w:ascii="仿宋_GB2312" w:hAnsi="仿宋_GB2312" w:eastAsia="仿宋_GB2312" w:cs="仿宋_GB2312"/>
                <w:szCs w:val="21"/>
              </w:rPr>
              <w:t>6分）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项目启动及时率（</w:t>
            </w:r>
            <w:r>
              <w:rPr>
                <w:rFonts w:ascii="仿宋_GB2312" w:hAnsi="仿宋_GB2312" w:eastAsia="仿宋_GB2312" w:cs="仿宋_GB2312"/>
                <w:szCs w:val="21"/>
              </w:rPr>
              <w:t>3分）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资金到位后，在</w:t>
            </w:r>
            <w:r>
              <w:rPr>
                <w:rFonts w:ascii="仿宋_GB2312" w:hAnsi="仿宋_GB2312" w:eastAsia="仿宋_GB2312" w:cs="仿宋_GB2312"/>
                <w:szCs w:val="21"/>
              </w:rPr>
              <w:t>2个月内按照预期安排开展项目的情况，用以反映项目启动的及时程度。</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每发现一例未及时启动，扣</w:t>
            </w:r>
            <w:r>
              <w:rPr>
                <w:rFonts w:ascii="仿宋_GB2312" w:hAnsi="仿宋_GB2312" w:eastAsia="仿宋_GB2312" w:cs="仿宋_GB2312"/>
                <w:szCs w:val="21"/>
              </w:rPr>
              <w:t>0.2分。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项目实施及时率（</w:t>
            </w:r>
            <w:r>
              <w:rPr>
                <w:rFonts w:ascii="仿宋_GB2312" w:hAnsi="仿宋_GB2312" w:eastAsia="仿宋_GB2312" w:cs="仿宋_GB2312"/>
                <w:szCs w:val="21"/>
              </w:rPr>
              <w:t>3分）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项目按照预期进度和内容，按质按量实施的情况，用以反映项目实施的及时程度。</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每发现一例未按计划实施的项目，扣</w:t>
            </w:r>
            <w:r>
              <w:rPr>
                <w:rFonts w:ascii="仿宋_GB2312" w:hAnsi="仿宋_GB2312" w:eastAsia="仿宋_GB2312" w:cs="仿宋_GB2312"/>
                <w:szCs w:val="21"/>
              </w:rPr>
              <w:t>0.2分。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效益（</w:t>
            </w:r>
            <w:r>
              <w:rPr>
                <w:rFonts w:ascii="仿宋_GB2312" w:hAnsi="仿宋_GB2312" w:eastAsia="仿宋_GB2312" w:cs="仿宋_GB2312"/>
                <w:szCs w:val="21"/>
              </w:rPr>
              <w:t>30分）</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社会效益（</w:t>
            </w:r>
            <w:r>
              <w:rPr>
                <w:rFonts w:ascii="仿宋_GB2312" w:hAnsi="仿宋_GB2312" w:eastAsia="仿宋_GB2312" w:cs="仿宋_GB2312"/>
                <w:szCs w:val="21"/>
              </w:rPr>
              <w:t>16分）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学生体质健康达标优秀率（</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年度学生体质健康测评结果为优秀等级的比例的环比变化情况，反映执行“全面实施素质教育”理念所产生的效益。</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ascii="仿宋_GB2312" w:hAnsi="仿宋_GB2312" w:eastAsia="仿宋_GB2312" w:cs="仿宋_GB2312"/>
                <w:szCs w:val="21"/>
              </w:rPr>
              <w:t>2020年学生体质健康达标优秀率&gt;2019年学生体质健康达标优秀率，得满分；否则，得分=（1-环比下降率）*指标分值。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学生体质健康达标优秀率</w:t>
            </w:r>
            <w:r>
              <w:rPr>
                <w:rFonts w:ascii="仿宋_GB2312" w:hAnsi="仿宋_GB2312" w:eastAsia="仿宋_GB2312" w:cs="仿宋_GB2312"/>
                <w:szCs w:val="21"/>
              </w:rPr>
              <w:t>=（学生体质健康测评结果为优秀等级的人数/测评总人数）*100%。</w:t>
            </w:r>
            <w:r>
              <w:rPr>
                <w:rFonts w:ascii="仿宋_GB2312" w:hAnsi="仿宋_GB2312" w:eastAsia="仿宋_GB2312" w:cs="仿宋_GB2312"/>
                <w:szCs w:val="21"/>
              </w:rPr>
              <w:br w:type="textWrapping"/>
            </w:r>
            <w:r>
              <w:rPr>
                <w:rFonts w:hint="eastAsia" w:ascii="仿宋_GB2312" w:hAnsi="仿宋_GB2312" w:eastAsia="仿宋_GB2312" w:cs="仿宋_GB2312"/>
                <w:szCs w:val="21"/>
              </w:rPr>
              <w:t>环比下降率</w:t>
            </w:r>
            <w:r>
              <w:rPr>
                <w:rFonts w:ascii="仿宋_GB2312" w:hAnsi="仿宋_GB2312" w:eastAsia="仿宋_GB2312" w:cs="仿宋_GB2312"/>
                <w:szCs w:val="21"/>
              </w:rPr>
              <w:t>=（2019年学生体质健康达标优秀率-2020年学生体质健康达标优秀率）/2020年学生体质健康达标优秀率。</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教师教学和适龄学生学习应用覆盖率（</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ascii="仿宋_GB2312" w:hAnsi="仿宋_GB2312" w:eastAsia="仿宋_GB2312" w:cs="仿宋_GB2312"/>
                <w:szCs w:val="21"/>
              </w:rPr>
              <w:t>2020年全省教师教学应用覆盖率，反映对“三全两高一大——教学应用覆盖全体教师、学习应用覆盖全体适龄学生”目标的推进效果。</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从以下几方面综合考评：</w:t>
            </w:r>
            <w:r>
              <w:rPr>
                <w:rFonts w:ascii="仿宋_GB2312" w:hAnsi="仿宋_GB2312" w:eastAsia="仿宋_GB2312" w:cs="仿宋_GB2312"/>
                <w:szCs w:val="21"/>
              </w:rPr>
              <w:br w:type="textWrapping"/>
            </w:r>
            <w:r>
              <w:rPr>
                <w:rFonts w:hint="eastAsia" w:ascii="仿宋_GB2312" w:hAnsi="仿宋_GB2312" w:eastAsia="仿宋_GB2312" w:cs="仿宋_GB2312"/>
                <w:szCs w:val="21"/>
              </w:rPr>
              <w:t>①互联网接入情况。互联网接入率</w:t>
            </w:r>
            <w:r>
              <w:rPr>
                <w:rFonts w:ascii="仿宋_GB2312" w:hAnsi="仿宋_GB2312" w:eastAsia="仿宋_GB2312" w:cs="仿宋_GB2312"/>
                <w:szCs w:val="21"/>
              </w:rPr>
              <w:t>=全省实现宽带接入的学校数（含教学点）/全省各级各类学校总数。截止2020年12月，全省中小学校（含教学点）互联网接入率达到 100%。</w:t>
            </w:r>
            <w:r>
              <w:rPr>
                <w:rFonts w:ascii="仿宋_GB2312" w:hAnsi="仿宋_GB2312" w:eastAsia="仿宋_GB2312" w:cs="仿宋_GB2312"/>
                <w:szCs w:val="21"/>
              </w:rPr>
              <w:br w:type="textWrapping"/>
            </w:r>
            <w:r>
              <w:rPr>
                <w:rFonts w:hint="eastAsia" w:ascii="仿宋_GB2312" w:hAnsi="仿宋_GB2312" w:eastAsia="仿宋_GB2312" w:cs="仿宋_GB2312"/>
                <w:szCs w:val="21"/>
              </w:rPr>
              <w:t>②多媒体教室普及情况。多媒体教室普及率</w:t>
            </w:r>
            <w:r>
              <w:rPr>
                <w:rFonts w:ascii="仿宋_GB2312" w:hAnsi="仿宋_GB2312" w:eastAsia="仿宋_GB2312" w:cs="仿宋_GB2312"/>
                <w:szCs w:val="21"/>
              </w:rPr>
              <w:t>=已配备多媒体教学设备的普通教室个数/学校正在使用的普通教室总数。截止2020年12月，全省乡镇及以上学校多媒体教室普及率为90%。</w:t>
            </w:r>
            <w:r>
              <w:rPr>
                <w:rFonts w:ascii="仿宋_GB2312" w:hAnsi="仿宋_GB2312" w:eastAsia="仿宋_GB2312" w:cs="仿宋_GB2312"/>
                <w:szCs w:val="21"/>
              </w:rPr>
              <w:br w:type="textWrapping"/>
            </w:r>
            <w:r>
              <w:rPr>
                <w:rFonts w:hint="eastAsia" w:ascii="仿宋_GB2312" w:hAnsi="仿宋_GB2312" w:eastAsia="仿宋_GB2312" w:cs="仿宋_GB2312"/>
                <w:szCs w:val="21"/>
              </w:rPr>
              <w:t>以上两项均达到计满分，达到一项计</w:t>
            </w:r>
            <w:r>
              <w:rPr>
                <w:rFonts w:ascii="仿宋_GB2312" w:hAnsi="仿宋_GB2312" w:eastAsia="仿宋_GB2312" w:cs="仿宋_GB2312"/>
                <w:szCs w:val="21"/>
              </w:rPr>
              <w:t>2分，均未达到计0分。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民办高校年度办学情况检查合格率（</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民办教育发展项目实施所产生的对民办高校规范办学行为的影响。</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ascii="仿宋_GB2312" w:hAnsi="仿宋_GB2312" w:eastAsia="仿宋_GB2312" w:cs="仿宋_GB2312"/>
                <w:szCs w:val="21"/>
              </w:rPr>
              <w:t>2020年民办高校年度办学情况检查合格率&gt;2019年民办高校年度办学情况检查合格率，得满分；否则，得分=（1-环比下降率）*指标分值。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民办高校办学情况检查合格率</w:t>
            </w:r>
            <w:r>
              <w:rPr>
                <w:rFonts w:ascii="仿宋_GB2312" w:hAnsi="仿宋_GB2312" w:eastAsia="仿宋_GB2312" w:cs="仿宋_GB2312"/>
                <w:szCs w:val="21"/>
              </w:rPr>
              <w:t>=（年度办学情况检查结果为“基本合格”及以上等次的民办高等学校数量/民办高校总数）*100%。</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西藏班课程设置情况（</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西藏班课程设置体现了教育部、省政府对西藏班德育和学生思想政治教育工作的要求，反映对民族团结等方面政策的落实情况。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课程设置符合教育部对西藏班德育和学生思想政治教育工作的要求，得</w:t>
            </w:r>
            <w:r>
              <w:rPr>
                <w:rFonts w:ascii="仿宋_GB2312" w:hAnsi="仿宋_GB2312" w:eastAsia="仿宋_GB2312" w:cs="仿宋_GB2312"/>
                <w:szCs w:val="21"/>
              </w:rPr>
              <w:t>4分；否则，得0分。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可持续性效益（</w:t>
            </w:r>
            <w:r>
              <w:rPr>
                <w:rFonts w:ascii="仿宋_GB2312" w:hAnsi="仿宋_GB2312" w:eastAsia="仿宋_GB2312" w:cs="仿宋_GB2312"/>
                <w:szCs w:val="21"/>
              </w:rPr>
              <w:t>8分）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国家助学贷款“应贷尽贷”（</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ascii="仿宋_GB2312" w:hAnsi="仿宋_GB2312" w:eastAsia="仿宋_GB2312" w:cs="仿宋_GB2312"/>
                <w:szCs w:val="21"/>
              </w:rPr>
              <w:t>2020年湖南省大学生国家助学贷款“应贷尽贷”的比例，反映贯彻“把教育摆在优先发展的战略地位，财政资金优先保障教育投入”的工作方针所产生的可持续影响。</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ascii="仿宋_GB2312" w:hAnsi="仿宋_GB2312" w:eastAsia="仿宋_GB2312" w:cs="仿宋_GB2312"/>
                <w:szCs w:val="21"/>
              </w:rPr>
              <w:t>2020年湖南省大学生国家助学贷款都做到应贷尽贷，得满分；否则，每发现一例应贷未贷的情况，扣0.5分。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政策落实情况（</w:t>
            </w:r>
            <w:r>
              <w:rPr>
                <w:rFonts w:ascii="仿宋_GB2312" w:hAnsi="仿宋_GB2312" w:eastAsia="仿宋_GB2312" w:cs="仿宋_GB2312"/>
                <w:szCs w:val="21"/>
              </w:rPr>
              <w:t>4分）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项目实施所产生的对贯彻落实省战略部署的可持续保障情况。</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ascii="仿宋_GB2312" w:hAnsi="仿宋_GB2312" w:eastAsia="仿宋_GB2312" w:cs="仿宋_GB2312"/>
                <w:szCs w:val="21"/>
              </w:rPr>
              <w:t>2020年发布的项目申报指南符合省战略部署，得满分；否则，每发现一类不符合，扣1分。</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p>
        </w:tc>
        <w:tc>
          <w:tcPr>
            <w:tcW w:w="85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满意度指标（</w:t>
            </w:r>
            <w:r>
              <w:rPr>
                <w:rFonts w:ascii="仿宋_GB2312" w:hAnsi="仿宋_GB2312" w:eastAsia="仿宋_GB2312" w:cs="仿宋_GB2312"/>
                <w:szCs w:val="21"/>
              </w:rPr>
              <w:t>6分）</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受众满意度（</w:t>
            </w:r>
            <w:r>
              <w:rPr>
                <w:rFonts w:ascii="仿宋_GB2312" w:hAnsi="仿宋_GB2312" w:eastAsia="仿宋_GB2312" w:cs="仿宋_GB2312"/>
                <w:szCs w:val="21"/>
              </w:rPr>
              <w:t>6分）</w:t>
            </w:r>
          </w:p>
        </w:tc>
        <w:tc>
          <w:tcPr>
            <w:tcW w:w="253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项目承担单位对教育综合专项资金的设置、具体落实、服务态度等的满意度，反映政策制定合理性、政府服务水平等。</w:t>
            </w:r>
          </w:p>
        </w:tc>
        <w:tc>
          <w:tcPr>
            <w:tcW w:w="850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得分</w:t>
            </w:r>
            <w:r>
              <w:rPr>
                <w:rFonts w:ascii="仿宋_GB2312" w:hAnsi="仿宋_GB2312" w:eastAsia="仿宋_GB2312" w:cs="仿宋_GB2312"/>
                <w:szCs w:val="21"/>
              </w:rPr>
              <w:t>=调查对象的满意度平均得分*指标分值。</w:t>
            </w:r>
            <w:r>
              <w:rPr>
                <w:rFonts w:ascii="仿宋_GB2312" w:hAnsi="仿宋_GB2312" w:eastAsia="仿宋_GB2312" w:cs="仿宋_GB2312"/>
                <w:szCs w:val="21"/>
              </w:rPr>
              <w:br w:type="textWrapping"/>
            </w:r>
            <w:r>
              <w:rPr>
                <w:rFonts w:hint="eastAsia" w:ascii="仿宋_GB2312" w:hAnsi="仿宋_GB2312" w:eastAsia="仿宋_GB2312" w:cs="仿宋_GB2312"/>
                <w:szCs w:val="21"/>
              </w:rPr>
              <w:t>其中，调查对象的满意度平均得分</w:t>
            </w:r>
            <w:r>
              <w:rPr>
                <w:rFonts w:ascii="仿宋_GB2312" w:hAnsi="仿宋_GB2312" w:eastAsia="仿宋_GB2312" w:cs="仿宋_GB2312"/>
                <w:szCs w:val="21"/>
              </w:rPr>
              <w:t>=∑调查对象的满意度得分/调查对象总数。</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13716"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合计</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keepLines/>
              <w:spacing w:before="340" w:after="330" w:line="578" w:lineRule="auto"/>
              <w:jc w:val="center"/>
              <w:rPr>
                <w:rFonts w:ascii="仿宋_GB2312" w:hAnsi="仿宋_GB2312" w:eastAsia="仿宋_GB2312" w:cs="仿宋_GB2312"/>
                <w:szCs w:val="21"/>
              </w:rPr>
            </w:pPr>
            <w:r>
              <w:rPr>
                <w:rFonts w:hint="eastAsia" w:ascii="仿宋_GB2312" w:hAnsi="仿宋_GB2312" w:eastAsia="仿宋_GB2312" w:cs="仿宋_GB2312"/>
                <w:szCs w:val="21"/>
              </w:rPr>
              <w:t>98</w:t>
            </w:r>
          </w:p>
        </w:tc>
      </w:tr>
    </w:tbl>
    <w:p>
      <w:pPr>
        <w:spacing w:line="550" w:lineRule="exact"/>
        <w:rPr>
          <w:rFonts w:eastAsia="黑体"/>
          <w:sz w:val="32"/>
          <w:szCs w:val="32"/>
        </w:rPr>
        <w:sectPr>
          <w:pgSz w:w="16838" w:h="11906" w:orient="landscape"/>
          <w:pgMar w:top="1803" w:right="1440" w:bottom="1803" w:left="1440" w:header="851" w:footer="992" w:gutter="0"/>
          <w:cols w:space="0" w:num="1"/>
          <w:docGrid w:linePitch="319" w:charSpace="0"/>
        </w:sectPr>
      </w:pPr>
    </w:p>
    <w:p>
      <w:pPr>
        <w:snapToGrid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I3MGFhYTk2MmUzOTY0NWQyYTljZmRkMjg1Mzk2NDIifQ=="/>
  </w:docVars>
  <w:rsids>
    <w:rsidRoot w:val="00EB71D8"/>
    <w:rsid w:val="00756566"/>
    <w:rsid w:val="00EB71D8"/>
    <w:rsid w:val="30C97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9"/>
    <w:qFormat/>
    <w:uiPriority w:val="0"/>
    <w:pPr>
      <w:keepNext/>
      <w:keepLines/>
      <w:spacing w:before="260" w:after="260" w:line="416" w:lineRule="auto"/>
      <w:outlineLvl w:val="1"/>
    </w:pPr>
    <w:rPr>
      <w:rFonts w:ascii="Cambria" w:hAnsi="Cambria"/>
      <w:b/>
      <w:bCs/>
      <w:sz w:val="32"/>
      <w:szCs w:val="32"/>
    </w:rPr>
  </w:style>
  <w:style w:type="paragraph" w:styleId="3">
    <w:name w:val="heading 3"/>
    <w:basedOn w:val="1"/>
    <w:next w:val="1"/>
    <w:link w:val="20"/>
    <w:semiHidden/>
    <w:unhideWhenUsed/>
    <w:qFormat/>
    <w:uiPriority w:val="0"/>
    <w:pPr>
      <w:keepNext/>
      <w:keepLines/>
      <w:spacing w:before="260" w:after="260" w:line="413" w:lineRule="auto"/>
      <w:outlineLvl w:val="2"/>
    </w:pPr>
    <w:rPr>
      <w:rFonts w:ascii="Calibri" w:hAnsi="Calibri"/>
      <w:b/>
      <w:sz w:val="32"/>
      <w:szCs w:val="2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pPr>
      <w:jc w:val="left"/>
    </w:pPr>
  </w:style>
  <w:style w:type="paragraph" w:styleId="5">
    <w:name w:val="Date"/>
    <w:basedOn w:val="1"/>
    <w:next w:val="1"/>
    <w:link w:val="22"/>
    <w:qFormat/>
    <w:uiPriority w:val="0"/>
    <w:pPr>
      <w:ind w:left="100" w:leftChars="2500"/>
    </w:pPr>
    <w:rPr>
      <w:rFonts w:asciiTheme="minorHAnsi" w:hAnsiTheme="minorHAnsi" w:eastAsiaTheme="minorEastAsia" w:cstheme="minorBidi"/>
      <w:szCs w:val="22"/>
    </w:rPr>
  </w:style>
  <w:style w:type="paragraph" w:styleId="6">
    <w:name w:val="Balloon Text"/>
    <w:basedOn w:val="1"/>
    <w:link w:val="23"/>
    <w:qFormat/>
    <w:uiPriority w:val="0"/>
    <w:rPr>
      <w:rFonts w:asciiTheme="minorHAnsi" w:hAnsiTheme="minorHAnsi" w:eastAsiaTheme="minorEastAsia" w:cstheme="minorBidi"/>
      <w:sz w:val="18"/>
      <w:szCs w:val="18"/>
    </w:rPr>
  </w:style>
  <w:style w:type="paragraph" w:styleId="7">
    <w:name w:val="footer"/>
    <w:basedOn w:val="1"/>
    <w:link w:val="1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semiHidden/>
    <w:unhideWhenUsed/>
    <w:uiPriority w:val="99"/>
    <w:pPr>
      <w:widowControl/>
      <w:jc w:val="left"/>
    </w:pPr>
    <w:rPr>
      <w:rFonts w:ascii="宋体" w:hAnsi="宋体" w:cs="宋体"/>
      <w:kern w:val="0"/>
      <w:sz w:val="24"/>
    </w:rPr>
  </w:style>
  <w:style w:type="paragraph" w:styleId="10">
    <w:name w:val="annotation subject"/>
    <w:basedOn w:val="4"/>
    <w:next w:val="4"/>
    <w:link w:val="24"/>
    <w:semiHidden/>
    <w:unhideWhenUsed/>
    <w:qFormat/>
    <w:uiPriority w:val="99"/>
    <w:rPr>
      <w:b/>
      <w:bCs/>
    </w:rPr>
  </w:style>
  <w:style w:type="table" w:styleId="12">
    <w:name w:val="Table Grid"/>
    <w:basedOn w:val="11"/>
    <w:qFormat/>
    <w:uiPriority w:val="39"/>
    <w:rPr>
      <w:rFonts w:ascii="Calibri" w:hAnsi="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qFormat/>
    <w:uiPriority w:val="0"/>
  </w:style>
  <w:style w:type="character" w:styleId="15">
    <w:name w:val="Hyperlink"/>
    <w:qFormat/>
    <w:uiPriority w:val="0"/>
    <w:rPr>
      <w:color w:val="0563C1"/>
      <w:u w:val="single"/>
    </w:rPr>
  </w:style>
  <w:style w:type="character" w:styleId="16">
    <w:name w:val="annotation reference"/>
    <w:basedOn w:val="13"/>
    <w:semiHidden/>
    <w:unhideWhenUsed/>
    <w:qFormat/>
    <w:uiPriority w:val="99"/>
    <w:rPr>
      <w:sz w:val="21"/>
      <w:szCs w:val="21"/>
    </w:rPr>
  </w:style>
  <w:style w:type="character" w:customStyle="1" w:styleId="17">
    <w:name w:val="页眉 Char"/>
    <w:basedOn w:val="13"/>
    <w:link w:val="8"/>
    <w:qFormat/>
    <w:uiPriority w:val="0"/>
    <w:rPr>
      <w:sz w:val="18"/>
      <w:szCs w:val="18"/>
    </w:rPr>
  </w:style>
  <w:style w:type="character" w:customStyle="1" w:styleId="18">
    <w:name w:val="页脚 Char"/>
    <w:basedOn w:val="13"/>
    <w:link w:val="7"/>
    <w:qFormat/>
    <w:uiPriority w:val="99"/>
    <w:rPr>
      <w:sz w:val="18"/>
      <w:szCs w:val="18"/>
    </w:rPr>
  </w:style>
  <w:style w:type="character" w:customStyle="1" w:styleId="19">
    <w:name w:val="标题 2 Char"/>
    <w:basedOn w:val="13"/>
    <w:link w:val="2"/>
    <w:qFormat/>
    <w:uiPriority w:val="0"/>
    <w:rPr>
      <w:rFonts w:ascii="Cambria" w:hAnsi="Cambria" w:eastAsia="宋体" w:cs="Times New Roman"/>
      <w:b/>
      <w:bCs/>
      <w:sz w:val="32"/>
      <w:szCs w:val="32"/>
    </w:rPr>
  </w:style>
  <w:style w:type="character" w:customStyle="1" w:styleId="20">
    <w:name w:val="标题 3 Char"/>
    <w:basedOn w:val="13"/>
    <w:link w:val="3"/>
    <w:semiHidden/>
    <w:uiPriority w:val="0"/>
    <w:rPr>
      <w:rFonts w:ascii="Calibri" w:hAnsi="Calibri" w:eastAsia="宋体" w:cs="Times New Roman"/>
      <w:b/>
      <w:sz w:val="32"/>
    </w:rPr>
  </w:style>
  <w:style w:type="character" w:customStyle="1" w:styleId="21">
    <w:name w:val="批注文字 Char"/>
    <w:basedOn w:val="13"/>
    <w:link w:val="4"/>
    <w:semiHidden/>
    <w:qFormat/>
    <w:uiPriority w:val="99"/>
    <w:rPr>
      <w:rFonts w:ascii="Times New Roman" w:hAnsi="Times New Roman" w:eastAsia="宋体" w:cs="Times New Roman"/>
      <w:szCs w:val="24"/>
    </w:rPr>
  </w:style>
  <w:style w:type="character" w:customStyle="1" w:styleId="22">
    <w:name w:val="日期 Char"/>
    <w:basedOn w:val="13"/>
    <w:link w:val="5"/>
    <w:qFormat/>
    <w:uiPriority w:val="0"/>
  </w:style>
  <w:style w:type="character" w:customStyle="1" w:styleId="23">
    <w:name w:val="批注框文本 Char"/>
    <w:basedOn w:val="13"/>
    <w:link w:val="6"/>
    <w:qFormat/>
    <w:uiPriority w:val="0"/>
    <w:rPr>
      <w:sz w:val="18"/>
      <w:szCs w:val="18"/>
    </w:rPr>
  </w:style>
  <w:style w:type="character" w:customStyle="1" w:styleId="24">
    <w:name w:val="批注主题 Char"/>
    <w:basedOn w:val="21"/>
    <w:link w:val="10"/>
    <w:semiHidden/>
    <w:qFormat/>
    <w:uiPriority w:val="99"/>
    <w:rPr>
      <w:b/>
      <w:bCs/>
    </w:rPr>
  </w:style>
  <w:style w:type="character" w:customStyle="1" w:styleId="25">
    <w:name w:val="日期 字符1"/>
    <w:basedOn w:val="13"/>
    <w:semiHidden/>
    <w:qFormat/>
    <w:uiPriority w:val="99"/>
    <w:rPr>
      <w:rFonts w:ascii="Times New Roman" w:hAnsi="Times New Roman" w:eastAsia="宋体" w:cs="Times New Roman"/>
      <w:szCs w:val="24"/>
    </w:rPr>
  </w:style>
  <w:style w:type="character" w:customStyle="1" w:styleId="26">
    <w:name w:val="批注框文本 字符1"/>
    <w:basedOn w:val="13"/>
    <w:semiHidden/>
    <w:qFormat/>
    <w:uiPriority w:val="99"/>
    <w:rPr>
      <w:rFonts w:ascii="Times New Roman" w:hAnsi="Times New Roman" w:eastAsia="宋体" w:cs="Times New Roman"/>
      <w:sz w:val="18"/>
      <w:szCs w:val="18"/>
    </w:rPr>
  </w:style>
  <w:style w:type="character" w:customStyle="1" w:styleId="27">
    <w:name w:val="页眉 字符1"/>
    <w:basedOn w:val="13"/>
    <w:semiHidden/>
    <w:qFormat/>
    <w:uiPriority w:val="99"/>
    <w:rPr>
      <w:rFonts w:ascii="Times New Roman" w:hAnsi="Times New Roman" w:eastAsia="宋体" w:cs="Times New Roman"/>
      <w:sz w:val="18"/>
      <w:szCs w:val="18"/>
    </w:rPr>
  </w:style>
  <w:style w:type="character" w:customStyle="1" w:styleId="28">
    <w:name w:val="页脚 字符1"/>
    <w:basedOn w:val="13"/>
    <w:semiHidden/>
    <w:qFormat/>
    <w:uiPriority w:val="99"/>
    <w:rPr>
      <w:rFonts w:ascii="Times New Roman" w:hAnsi="Times New Roman" w:eastAsia="宋体" w:cs="Times New Roman"/>
      <w:sz w:val="18"/>
      <w:szCs w:val="18"/>
    </w:rPr>
  </w:style>
  <w:style w:type="paragraph" w:customStyle="1" w:styleId="29">
    <w:name w:val="Char Char Char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30">
    <w:name w:val="Char"/>
    <w:basedOn w:val="1"/>
    <w:qFormat/>
    <w:uiPriority w:val="0"/>
    <w:pPr>
      <w:spacing w:line="360" w:lineRule="auto"/>
      <w:ind w:firstLine="480" w:firstLineChars="200"/>
    </w:pPr>
    <w:rPr>
      <w:rFonts w:ascii="宋体" w:hAnsi="宋体" w:eastAsia="楷体_GB2312"/>
      <w:sz w:val="24"/>
      <w:szCs w:val="21"/>
    </w:rPr>
  </w:style>
  <w:style w:type="paragraph" w:styleId="31">
    <w:name w:val="List Paragraph"/>
    <w:basedOn w:val="1"/>
    <w:qFormat/>
    <w:uiPriority w:val="99"/>
    <w:pPr>
      <w:ind w:firstLine="420" w:firstLineChars="200"/>
    </w:pPr>
    <w:rPr>
      <w:rFonts w:ascii="Calibri" w:hAnsi="Calibri"/>
      <w:szCs w:val="22"/>
    </w:rPr>
  </w:style>
  <w:style w:type="character" w:customStyle="1" w:styleId="32">
    <w:name w:val="font31"/>
    <w:basedOn w:val="13"/>
    <w:qFormat/>
    <w:uiPriority w:val="0"/>
    <w:rPr>
      <w:rFonts w:hint="eastAsia" w:ascii="宋体" w:hAnsi="宋体" w:eastAsia="宋体" w:cs="宋体"/>
      <w:color w:val="000000"/>
      <w:sz w:val="24"/>
      <w:szCs w:val="24"/>
      <w:u w:val="none"/>
    </w:rPr>
  </w:style>
  <w:style w:type="character" w:customStyle="1" w:styleId="33">
    <w:name w:val="font21"/>
    <w:basedOn w:val="13"/>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9174</Words>
  <Characters>9468</Characters>
  <Lines>76</Lines>
  <Paragraphs>21</Paragraphs>
  <TotalTime>17</TotalTime>
  <ScaleCrop>false</ScaleCrop>
  <LinksUpToDate>false</LinksUpToDate>
  <CharactersWithSpaces>9730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2021-04-26T07:46:00Z</dcterms:created>
  <dc:creator>Administrator</dc:creator>
  <cp:lastModifiedBy>杨帆</cp:lastModifiedBy>
  <dcterms:modified xsi:type="dcterms:W3CDTF">2022-05-11T08:47:06Z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4DA4224F90C545E5A211CC9D89BF727B</vt:lpwstr>
  </property>
</Properties>
</file>