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autoSpaceDN w:val="0"/>
        <w:adjustRightInd w:val="0"/>
        <w:spacing w:beforeLines="0" w:afterLines="0"/>
        <w:jc w:val="both"/>
        <w:rPr>
          <w:rFonts w:hint="eastAsia" w:ascii="黑体" w:eastAsia="黑体"/>
          <w:color w:val="000000"/>
          <w:sz w:val="44"/>
          <w:lang w:val="zh-CN"/>
        </w:rPr>
      </w:pPr>
    </w:p>
    <w:p>
      <w:pPr>
        <w:jc w:val="center"/>
        <w:rPr>
          <w:rFonts w:hint="eastAsia" w:ascii="仿宋_GB2312" w:eastAsia="仿宋_GB2312"/>
          <w:sz w:val="52"/>
          <w:szCs w:val="24"/>
        </w:rPr>
      </w:pPr>
      <w:r>
        <w:rPr>
          <w:rFonts w:hint="eastAsia" w:ascii="仿宋_GB2312" w:eastAsia="仿宋_GB2312"/>
          <w:sz w:val="52"/>
          <w:szCs w:val="24"/>
        </w:rPr>
        <w:t>目  录</w:t>
      </w:r>
    </w:p>
    <w:p>
      <w:pPr>
        <w:rPr>
          <w:rFonts w:hint="eastAsia" w:ascii="仿宋_GB2312" w:eastAsia="仿宋_GB2312"/>
          <w:sz w:val="32"/>
          <w:szCs w:val="24"/>
        </w:rPr>
      </w:pPr>
    </w:p>
    <w:p>
      <w:pPr>
        <w:pStyle w:val="10"/>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2021年部门决算公开说明</w:t>
      </w:r>
    </w:p>
    <w:p>
      <w:pPr>
        <w:pStyle w:val="10"/>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2021年度收入支出决算公开表</w:t>
      </w:r>
    </w:p>
    <w:p>
      <w:pPr>
        <w:spacing w:line="560" w:lineRule="exact"/>
        <w:jc w:val="left"/>
        <w:rPr>
          <w:rFonts w:hint="eastAsia" w:ascii="仿宋_GB2312" w:eastAsia="仿宋_GB2312"/>
          <w:color w:val="FF0000"/>
          <w:sz w:val="32"/>
          <w:szCs w:val="24"/>
        </w:rPr>
      </w:pPr>
      <w:r>
        <w:rPr>
          <w:rFonts w:hint="eastAsia" w:ascii="仿宋_GB2312" w:eastAsia="仿宋_GB2312"/>
          <w:sz w:val="32"/>
          <w:szCs w:val="24"/>
        </w:rPr>
        <w:t>三、2021年度收入决算公开表</w:t>
      </w:r>
    </w:p>
    <w:p>
      <w:pPr>
        <w:spacing w:line="560" w:lineRule="exact"/>
        <w:rPr>
          <w:rFonts w:hint="eastAsia" w:ascii="仿宋_GB2312" w:eastAsia="仿宋_GB2312"/>
          <w:sz w:val="32"/>
          <w:szCs w:val="24"/>
        </w:rPr>
      </w:pPr>
      <w:r>
        <w:rPr>
          <w:rFonts w:hint="eastAsia" w:ascii="仿宋_GB2312" w:eastAsia="仿宋_GB2312"/>
          <w:sz w:val="32"/>
          <w:szCs w:val="24"/>
        </w:rPr>
        <w:t>四、2021年度支出决算公开表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五、2021年度财政拨款收入支出决算公开表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六、2021年度一般公共预算财政拨款收入支出决算公开表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七、2021年度一般公共预算财政拨款基本支出决算公开表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八、2021年度一般公共预算财政拨款“三公”经费支出决算公开表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九、2021年度政府性基金预算财政拨款收入支出决算公开表</w:t>
      </w: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default" w:ascii="Times New Roman" w:hAnsi="Times New Roman" w:eastAsia="黑体"/>
          <w:color w:val="000000"/>
          <w:sz w:val="44"/>
          <w:lang w:val="zh-CN"/>
        </w:rPr>
      </w:pPr>
      <w:r>
        <w:rPr>
          <w:rFonts w:hint="eastAsia" w:ascii="黑体" w:eastAsia="黑体"/>
          <w:color w:val="000000"/>
          <w:sz w:val="44"/>
          <w:lang w:val="zh-CN"/>
        </w:rPr>
        <w:t>沅江市退役军人事务局20</w:t>
      </w:r>
      <w:r>
        <w:rPr>
          <w:rFonts w:hint="eastAsia" w:ascii="黑体" w:eastAsia="黑体"/>
          <w:color w:val="000000"/>
          <w:sz w:val="44"/>
          <w:lang w:val="en-US" w:eastAsia="zh-CN"/>
        </w:rPr>
        <w:t>21</w:t>
      </w:r>
      <w:r>
        <w:rPr>
          <w:rFonts w:hint="eastAsia" w:ascii="黑体" w:eastAsia="黑体"/>
          <w:color w:val="000000"/>
          <w:sz w:val="44"/>
          <w:lang w:val="zh-CN"/>
        </w:rPr>
        <w:t>年度部门决算说明</w:t>
      </w:r>
    </w:p>
    <w:p>
      <w:pPr>
        <w:jc w:val="both"/>
        <w:rPr>
          <w:rFonts w:ascii="宋体" w:hAnsi="宋体" w:eastAsia="宋体" w:cs="宋体"/>
          <w:sz w:val="44"/>
        </w:rPr>
      </w:pP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沅江市退役军人事务局单位概况</w:t>
      </w:r>
    </w:p>
    <w:p>
      <w:pPr>
        <w:numPr>
          <w:ilvl w:val="0"/>
          <w:numId w:val="0"/>
        </w:numPr>
        <w:ind w:firstLine="640" w:firstLineChars="200"/>
        <w:jc w:val="left"/>
        <w:rPr>
          <w:rFonts w:ascii="黑体" w:hAnsi="黑体" w:eastAsia="黑体" w:cs="黑体"/>
          <w:sz w:val="32"/>
        </w:rPr>
      </w:pPr>
      <w:r>
        <w:rPr>
          <w:rFonts w:hint="eastAsia" w:ascii="黑体" w:hAnsi="黑体" w:eastAsia="黑体" w:cs="黑体"/>
          <w:sz w:val="32"/>
          <w:lang w:eastAsia="zh-CN"/>
        </w:rPr>
        <w:t>一、</w:t>
      </w:r>
      <w:r>
        <w:rPr>
          <w:rFonts w:ascii="黑体" w:hAnsi="黑体" w:eastAsia="黑体" w:cs="黑体"/>
          <w:sz w:val="32"/>
        </w:rPr>
        <w:t>主要职能</w:t>
      </w:r>
    </w:p>
    <w:p>
      <w:pPr>
        <w:numPr>
          <w:ilvl w:val="0"/>
          <w:numId w:val="0"/>
        </w:numPr>
        <w:ind w:firstLine="640" w:firstLineChars="200"/>
        <w:jc w:val="left"/>
        <w:rPr>
          <w:rFonts w:hint="eastAsia" w:ascii="仿宋" w:hAnsi="仿宋" w:eastAsia="仿宋" w:cs="仿宋"/>
          <w:sz w:val="32"/>
        </w:rPr>
      </w:pPr>
      <w:r>
        <w:rPr>
          <w:rFonts w:hint="eastAsia" w:ascii="仿宋" w:hAnsi="仿宋" w:eastAsia="仿宋" w:cs="仿宋"/>
          <w:sz w:val="32"/>
        </w:rPr>
        <w:t>贯彻执行党和国家关于退役军人思想政治、管理保障和安置优抚等工作政策法规，拟订市退役军人事务发展规划和政策，并组织实施；褒扬彰显退役军人为党、国家和人民牺牲奉献的精神风范和价值导向。</w:t>
      </w:r>
    </w:p>
    <w:p>
      <w:pPr>
        <w:numPr>
          <w:ilvl w:val="0"/>
          <w:numId w:val="0"/>
        </w:numPr>
        <w:ind w:firstLine="640" w:firstLineChars="200"/>
        <w:jc w:val="left"/>
        <w:rPr>
          <w:rFonts w:hint="eastAsia" w:ascii="仿宋" w:hAnsi="仿宋" w:eastAsia="仿宋" w:cs="仿宋"/>
          <w:sz w:val="32"/>
        </w:rPr>
      </w:pPr>
      <w:r>
        <w:rPr>
          <w:rFonts w:hint="eastAsia" w:ascii="仿宋" w:hAnsi="仿宋" w:eastAsia="仿宋" w:cs="仿宋"/>
          <w:sz w:val="32"/>
        </w:rPr>
        <w:t>负责全市军队转业干部、复员干部、离休退休干部、退役军人和无军籍退休退职职工的移交安置工作和自主择业、就业退役军人服务管理工作。组织指导全市退役军人教育培训工作，协调扶持退役军人和随军家属就业创业。组织协调落实全市移交地方的离休退役军人、符合条件的其他退役军人和无军籍退休退职职工的住房保障工作，以及退役军人医疗保障、社会保险等待遇保障工作。组织指导全市伤病残退役军人服务管理和抚恤工作，贯彻落实退役军人医疗、疗养、养老等机构的规划政策并指导实施。</w:t>
      </w:r>
    </w:p>
    <w:p>
      <w:pPr>
        <w:numPr>
          <w:ilvl w:val="0"/>
          <w:numId w:val="0"/>
        </w:numPr>
        <w:jc w:val="left"/>
        <w:rPr>
          <w:rFonts w:ascii="仿宋" w:hAnsi="仿宋" w:eastAsia="仿宋" w:cs="仿宋"/>
          <w:sz w:val="32"/>
        </w:rPr>
      </w:pPr>
      <w:r>
        <w:rPr>
          <w:rFonts w:hint="eastAsia" w:ascii="仿宋" w:hAnsi="仿宋" w:eastAsia="仿宋" w:cs="仿宋"/>
          <w:sz w:val="32"/>
        </w:rPr>
        <w:t>组织和指导全市拥军优属工作。负责全市烈士及退役军人荣誉奖励、军人公墓管理维护、纪念活动等工作，依法承担英雄烈士保护相关工作。</w:t>
      </w:r>
    </w:p>
    <w:p>
      <w:pPr>
        <w:ind w:left="928" w:leftChars="326" w:hanging="243" w:hangingChars="76"/>
        <w:rPr>
          <w:rFonts w:hint="eastAsia"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sz w:val="32"/>
          <w:szCs w:val="32"/>
        </w:rPr>
        <w:t>我单位成立于2019年，为全额拨款行政单位，内设综合办公室、人事财务股、拥军优抚股、权益维护股、</w:t>
      </w:r>
      <w:r>
        <w:rPr>
          <w:rFonts w:hint="eastAsia" w:ascii="仿宋" w:hAnsi="仿宋" w:eastAsia="仿宋" w:cs="仿宋"/>
          <w:sz w:val="32"/>
          <w:szCs w:val="32"/>
          <w:lang w:eastAsia="zh-CN"/>
        </w:rPr>
        <w:t>移交</w:t>
      </w:r>
      <w:r>
        <w:rPr>
          <w:rFonts w:hint="eastAsia" w:ascii="仿宋" w:hAnsi="仿宋" w:eastAsia="仿宋" w:cs="仿宋"/>
          <w:sz w:val="32"/>
          <w:szCs w:val="32"/>
        </w:rPr>
        <w:t>安置股</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下设3个</w:t>
      </w:r>
      <w:r>
        <w:rPr>
          <w:rFonts w:hint="eastAsia" w:ascii="仿宋" w:hAnsi="仿宋" w:eastAsia="仿宋" w:cs="仿宋"/>
          <w:sz w:val="32"/>
          <w:szCs w:val="32"/>
          <w:lang w:eastAsia="zh-CN"/>
        </w:rPr>
        <w:t>公益类</w:t>
      </w:r>
      <w:r>
        <w:rPr>
          <w:rFonts w:hint="eastAsia" w:ascii="仿宋" w:hAnsi="仿宋" w:eastAsia="仿宋" w:cs="仿宋"/>
          <w:sz w:val="32"/>
          <w:szCs w:val="32"/>
        </w:rPr>
        <w:t>二级</w:t>
      </w:r>
      <w:r>
        <w:rPr>
          <w:rFonts w:hint="eastAsia" w:ascii="仿宋" w:hAnsi="仿宋" w:eastAsia="仿宋" w:cs="仿宋"/>
          <w:sz w:val="32"/>
          <w:szCs w:val="32"/>
          <w:lang w:eastAsia="zh-CN"/>
        </w:rPr>
        <w:t>事业</w:t>
      </w:r>
      <w:r>
        <w:rPr>
          <w:rFonts w:hint="eastAsia" w:ascii="仿宋" w:hAnsi="仿宋" w:eastAsia="仿宋" w:cs="仿宋"/>
          <w:sz w:val="32"/>
          <w:szCs w:val="32"/>
        </w:rPr>
        <w:t>机构（市退役军人服务中心、市光荣院和市军队</w:t>
      </w:r>
      <w:r>
        <w:rPr>
          <w:rFonts w:hint="eastAsia" w:ascii="仿宋" w:hAnsi="仿宋" w:eastAsia="仿宋" w:cs="仿宋"/>
          <w:sz w:val="32"/>
          <w:szCs w:val="32"/>
          <w:lang w:eastAsia="zh-CN"/>
        </w:rPr>
        <w:t>离休</w:t>
      </w:r>
      <w:r>
        <w:rPr>
          <w:rFonts w:hint="eastAsia" w:ascii="仿宋" w:hAnsi="仿宋" w:eastAsia="仿宋" w:cs="仿宋"/>
          <w:sz w:val="32"/>
          <w:szCs w:val="32"/>
        </w:rPr>
        <w:t>退休干部休养所）</w:t>
      </w:r>
      <w:r>
        <w:rPr>
          <w:rFonts w:hint="eastAsia" w:ascii="仿宋" w:hAnsi="仿宋" w:eastAsia="仿宋" w:cs="仿宋"/>
          <w:sz w:val="32"/>
          <w:szCs w:val="32"/>
          <w:lang w:eastAsia="zh-CN"/>
        </w:rPr>
        <w:t>。</w:t>
      </w:r>
    </w:p>
    <w:p>
      <w:pPr>
        <w:ind w:left="928" w:leftChars="326" w:hanging="243" w:hangingChars="76"/>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Times New Roman" w:eastAsia="仿宋"/>
          <w:color w:val="000000"/>
          <w:kern w:val="0"/>
          <w:sz w:val="32"/>
          <w:lang w:eastAsia="zh-CN"/>
        </w:rPr>
      </w:pPr>
      <w:r>
        <w:rPr>
          <w:rFonts w:ascii="仿宋" w:hAnsi="仿宋" w:eastAsia="仿宋" w:cs="仿宋"/>
          <w:sz w:val="32"/>
        </w:rPr>
        <w:t>从决算单位构成看，</w:t>
      </w:r>
      <w:r>
        <w:rPr>
          <w:rFonts w:hint="eastAsia" w:ascii="仿宋" w:hAnsi="仿宋" w:eastAsia="仿宋" w:cs="仿宋"/>
          <w:sz w:val="32"/>
        </w:rPr>
        <w:t>沅江市退役军人事务局</w:t>
      </w:r>
      <w:r>
        <w:rPr>
          <w:rFonts w:ascii="仿宋" w:hAnsi="仿宋" w:eastAsia="仿宋" w:cs="仿宋"/>
          <w:sz w:val="32"/>
        </w:rPr>
        <w:t>单位部门决算包括</w:t>
      </w:r>
      <w:r>
        <w:rPr>
          <w:rFonts w:hint="eastAsia" w:ascii="仿宋" w:hAnsi="Times New Roman" w:eastAsia="仿宋"/>
          <w:color w:val="000000"/>
          <w:kern w:val="0"/>
          <w:sz w:val="32"/>
        </w:rPr>
        <w:t>局机关本级决算</w:t>
      </w:r>
      <w:r>
        <w:rPr>
          <w:rFonts w:hint="eastAsia" w:ascii="仿宋" w:hAnsi="Times New Roman" w:eastAsia="仿宋"/>
          <w:color w:val="000000"/>
          <w:kern w:val="0"/>
          <w:sz w:val="32"/>
          <w:lang w:eastAsia="zh-CN"/>
        </w:rPr>
        <w:t>。</w:t>
      </w:r>
    </w:p>
    <w:p>
      <w:pPr>
        <w:ind w:firstLine="640" w:firstLineChars="200"/>
        <w:rPr>
          <w:rFonts w:hint="eastAsia" w:ascii="仿宋" w:hAnsi="Times New Roman" w:eastAsia="仿宋"/>
          <w:color w:val="000000"/>
          <w:kern w:val="0"/>
          <w:sz w:val="32"/>
          <w:lang w:eastAsia="zh-CN"/>
        </w:rPr>
      </w:pPr>
    </w:p>
    <w:p>
      <w:pPr>
        <w:ind w:firstLine="640" w:firstLineChars="200"/>
        <w:jc w:val="left"/>
        <w:rPr>
          <w:rFonts w:ascii="仿宋" w:hAnsi="仿宋" w:eastAsia="仿宋" w:cs="仿宋"/>
          <w:b w:val="0"/>
          <w:bCs w:val="0"/>
          <w:sz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沅江市退役军人事务局20</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年度部门决算表（见附表）</w:t>
      </w:r>
    </w:p>
    <w:p>
      <w:pPr>
        <w:ind w:firstLine="640" w:firstLineChars="200"/>
        <w:jc w:val="both"/>
        <w:rPr>
          <w:rFonts w:ascii="黑体" w:hAnsi="黑体" w:eastAsia="黑体" w:cs="黑体"/>
          <w:b w:val="0"/>
          <w:bCs w:val="0"/>
          <w:sz w:val="32"/>
        </w:rPr>
      </w:pPr>
      <w:r>
        <w:rPr>
          <w:rFonts w:hint="eastAsia" w:ascii="黑体" w:hAnsi="黑体" w:eastAsia="黑体" w:cs="黑体"/>
          <w:b w:val="0"/>
          <w:bCs w:val="0"/>
          <w:sz w:val="32"/>
          <w:szCs w:val="32"/>
        </w:rPr>
        <w:t>第三部分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沅江市退役军人事务局20</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年度部门决算情况说明</w:t>
      </w:r>
    </w:p>
    <w:p>
      <w:pPr>
        <w:ind w:firstLine="640"/>
        <w:jc w:val="left"/>
        <w:rPr>
          <w:rFonts w:ascii="黑体" w:hAnsi="黑体" w:eastAsia="黑体" w:cs="黑体"/>
          <w:sz w:val="32"/>
        </w:rPr>
      </w:pPr>
      <w:r>
        <w:rPr>
          <w:rFonts w:ascii="黑体" w:hAnsi="黑体" w:eastAsia="黑体" w:cs="黑体"/>
          <w:sz w:val="32"/>
        </w:rPr>
        <w:t>一、收入支出决算总体情况说明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年度收入总计</w:t>
      </w:r>
      <w:r>
        <w:rPr>
          <w:rFonts w:hint="eastAsia" w:ascii="仿宋" w:hAnsi="仿宋" w:eastAsia="仿宋" w:cs="仿宋"/>
          <w:sz w:val="32"/>
          <w:lang w:val="en-US" w:eastAsia="zh-CN"/>
        </w:rPr>
        <w:t>1392.1</w:t>
      </w:r>
      <w:r>
        <w:rPr>
          <w:rFonts w:ascii="仿宋" w:hAnsi="仿宋" w:eastAsia="仿宋" w:cs="仿宋"/>
          <w:sz w:val="32"/>
        </w:rPr>
        <w:t>万元，比上年同期增加</w:t>
      </w:r>
      <w:r>
        <w:rPr>
          <w:rFonts w:hint="eastAsia" w:ascii="仿宋" w:hAnsi="仿宋" w:eastAsia="仿宋" w:cs="仿宋"/>
          <w:sz w:val="32"/>
          <w:lang w:val="en-US" w:eastAsia="zh-CN"/>
        </w:rPr>
        <w:t>902.35</w:t>
      </w:r>
      <w:r>
        <w:rPr>
          <w:rFonts w:ascii="仿宋" w:hAnsi="仿宋" w:eastAsia="仿宋" w:cs="仿宋"/>
          <w:sz w:val="32"/>
        </w:rPr>
        <w:t>万元，增长</w:t>
      </w:r>
      <w:r>
        <w:rPr>
          <w:rFonts w:hint="eastAsia" w:ascii="仿宋" w:hAnsi="仿宋" w:eastAsia="仿宋" w:cs="仿宋"/>
          <w:sz w:val="32"/>
          <w:lang w:val="en-US" w:eastAsia="zh-CN"/>
        </w:rPr>
        <w:t>184.25</w:t>
      </w:r>
      <w:r>
        <w:rPr>
          <w:rFonts w:ascii="仿宋" w:hAnsi="仿宋" w:eastAsia="仿宋" w:cs="仿宋"/>
          <w:sz w:val="32"/>
        </w:rPr>
        <w:t>%；支出总计</w:t>
      </w:r>
      <w:r>
        <w:rPr>
          <w:rFonts w:hint="eastAsia" w:ascii="仿宋" w:hAnsi="仿宋" w:eastAsia="仿宋" w:cs="仿宋"/>
          <w:sz w:val="32"/>
          <w:lang w:val="en-US" w:eastAsia="zh-CN"/>
        </w:rPr>
        <w:t>1392.1</w:t>
      </w:r>
      <w:r>
        <w:rPr>
          <w:rFonts w:ascii="仿宋" w:hAnsi="仿宋" w:eastAsia="仿宋" w:cs="仿宋"/>
          <w:sz w:val="32"/>
        </w:rPr>
        <w:t>万元，比上年同期增加</w:t>
      </w:r>
      <w:r>
        <w:rPr>
          <w:rFonts w:hint="eastAsia" w:ascii="仿宋" w:hAnsi="仿宋" w:eastAsia="仿宋" w:cs="仿宋"/>
          <w:sz w:val="32"/>
          <w:lang w:val="en-US" w:eastAsia="zh-CN"/>
        </w:rPr>
        <w:t>929.11</w:t>
      </w:r>
      <w:r>
        <w:rPr>
          <w:rFonts w:ascii="仿宋" w:hAnsi="仿宋" w:eastAsia="仿宋" w:cs="仿宋"/>
          <w:sz w:val="32"/>
        </w:rPr>
        <w:t>万元，增长</w:t>
      </w:r>
      <w:r>
        <w:rPr>
          <w:rFonts w:hint="eastAsia" w:ascii="仿宋" w:hAnsi="仿宋" w:eastAsia="仿宋" w:cs="仿宋"/>
          <w:sz w:val="32"/>
          <w:lang w:val="en-US" w:eastAsia="zh-CN"/>
        </w:rPr>
        <w:t>200.68</w:t>
      </w:r>
      <w:r>
        <w:rPr>
          <w:rFonts w:ascii="仿宋" w:hAnsi="仿宋" w:eastAsia="仿宋" w:cs="仿宋"/>
          <w:sz w:val="32"/>
        </w:rPr>
        <w:t>%；。主要原因：</w:t>
      </w:r>
      <w:r>
        <w:rPr>
          <w:rFonts w:hint="eastAsia" w:ascii="仿宋" w:hAnsi="仿宋" w:eastAsia="仿宋" w:cs="仿宋"/>
          <w:sz w:val="32"/>
          <w:lang w:val="en-US" w:eastAsia="zh-CN"/>
        </w:rPr>
        <w:t>2021年项目增加，</w:t>
      </w:r>
      <w:r>
        <w:rPr>
          <w:rFonts w:hint="eastAsia" w:ascii="仿宋" w:hAnsi="仿宋" w:eastAsia="仿宋" w:cs="仿宋"/>
          <w:sz w:val="32"/>
          <w:lang w:eastAsia="zh-CN"/>
        </w:rPr>
        <w:t>财政拨款增加</w:t>
      </w:r>
      <w:r>
        <w:rPr>
          <w:rFonts w:hint="eastAsia" w:ascii="仿宋" w:hAnsi="仿宋" w:eastAsia="仿宋" w:cs="仿宋"/>
          <w:sz w:val="32"/>
          <w:lang w:val="en-US" w:eastAsia="zh-CN"/>
        </w:rPr>
        <w:t>。</w:t>
      </w:r>
    </w:p>
    <w:p>
      <w:pPr>
        <w:ind w:left="720"/>
        <w:jc w:val="left"/>
        <w:rPr>
          <w:rFonts w:ascii="黑体" w:hAnsi="黑体" w:eastAsia="黑体" w:cs="黑体"/>
          <w:sz w:val="32"/>
        </w:rPr>
      </w:pPr>
      <w:r>
        <w:rPr>
          <w:rFonts w:ascii="黑体" w:hAnsi="黑体" w:eastAsia="黑体" w:cs="黑体"/>
          <w:sz w:val="32"/>
        </w:rPr>
        <w:t>二、收入决算情况说明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年度收入合计</w:t>
      </w:r>
      <w:r>
        <w:rPr>
          <w:rFonts w:hint="eastAsia" w:ascii="仿宋" w:hAnsi="仿宋" w:eastAsia="仿宋" w:cs="仿宋"/>
          <w:sz w:val="32"/>
          <w:lang w:val="en-US" w:eastAsia="zh-CN"/>
        </w:rPr>
        <w:t>1392.1</w:t>
      </w:r>
      <w:r>
        <w:rPr>
          <w:rFonts w:ascii="仿宋" w:hAnsi="仿宋" w:eastAsia="仿宋" w:cs="仿宋"/>
          <w:sz w:val="32"/>
        </w:rPr>
        <w:t>万元，其中：财政拨款收入</w:t>
      </w:r>
      <w:r>
        <w:rPr>
          <w:rFonts w:hint="eastAsia" w:ascii="仿宋" w:hAnsi="仿宋" w:eastAsia="仿宋" w:cs="仿宋"/>
          <w:sz w:val="32"/>
          <w:lang w:val="en-US" w:eastAsia="zh-CN"/>
        </w:rPr>
        <w:t>1161.3</w:t>
      </w:r>
      <w:r>
        <w:rPr>
          <w:rFonts w:ascii="仿宋" w:hAnsi="仿宋" w:eastAsia="仿宋" w:cs="仿宋"/>
          <w:sz w:val="32"/>
        </w:rPr>
        <w:t>万元，占</w:t>
      </w:r>
      <w:r>
        <w:rPr>
          <w:rFonts w:hint="eastAsia" w:ascii="仿宋" w:hAnsi="仿宋" w:eastAsia="仿宋" w:cs="仿宋"/>
          <w:sz w:val="32"/>
          <w:lang w:val="en-US" w:eastAsia="zh-CN"/>
        </w:rPr>
        <w:t>83.42</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 xml:space="preserve">万元，占 </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230.8</w:t>
      </w:r>
      <w:r>
        <w:rPr>
          <w:rFonts w:ascii="仿宋" w:hAnsi="仿宋" w:eastAsia="仿宋" w:cs="仿宋"/>
          <w:sz w:val="32"/>
        </w:rPr>
        <w:t>万元，占</w:t>
      </w:r>
      <w:r>
        <w:rPr>
          <w:rFonts w:hint="eastAsia" w:ascii="仿宋" w:hAnsi="仿宋" w:eastAsia="仿宋" w:cs="仿宋"/>
          <w:sz w:val="32"/>
          <w:lang w:val="en-US" w:eastAsia="zh-CN"/>
        </w:rPr>
        <w:t>16.58</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年度支出合计</w:t>
      </w:r>
      <w:r>
        <w:rPr>
          <w:rFonts w:hint="eastAsia" w:ascii="仿宋" w:hAnsi="仿宋" w:eastAsia="仿宋" w:cs="仿宋"/>
          <w:sz w:val="32"/>
          <w:lang w:val="en-US" w:eastAsia="zh-CN"/>
        </w:rPr>
        <w:t>1392.1</w:t>
      </w:r>
      <w:r>
        <w:rPr>
          <w:rFonts w:ascii="仿宋" w:hAnsi="仿宋" w:eastAsia="仿宋" w:cs="仿宋"/>
          <w:sz w:val="32"/>
        </w:rPr>
        <w:t>万元，其中：基本支出</w:t>
      </w:r>
      <w:r>
        <w:rPr>
          <w:rFonts w:hint="eastAsia" w:ascii="仿宋" w:hAnsi="仿宋" w:eastAsia="仿宋" w:cs="仿宋"/>
          <w:sz w:val="32"/>
          <w:lang w:val="en-US" w:eastAsia="zh-CN"/>
        </w:rPr>
        <w:t>180.05</w:t>
      </w:r>
      <w:r>
        <w:rPr>
          <w:rFonts w:ascii="仿宋" w:hAnsi="仿宋" w:eastAsia="仿宋" w:cs="仿宋"/>
          <w:sz w:val="32"/>
        </w:rPr>
        <w:t>万元，占</w:t>
      </w:r>
      <w:r>
        <w:rPr>
          <w:rFonts w:hint="eastAsia" w:ascii="仿宋" w:hAnsi="仿宋" w:eastAsia="仿宋" w:cs="仿宋"/>
          <w:sz w:val="32"/>
          <w:lang w:val="en-US" w:eastAsia="zh-CN"/>
        </w:rPr>
        <w:t>12.93</w:t>
      </w:r>
      <w:r>
        <w:rPr>
          <w:rFonts w:ascii="仿宋" w:hAnsi="仿宋" w:eastAsia="仿宋" w:cs="仿宋"/>
          <w:sz w:val="32"/>
        </w:rPr>
        <w:t>%；项目支出</w:t>
      </w:r>
      <w:r>
        <w:rPr>
          <w:rFonts w:hint="eastAsia" w:ascii="仿宋" w:hAnsi="仿宋" w:eastAsia="仿宋" w:cs="仿宋"/>
          <w:sz w:val="32"/>
          <w:lang w:val="en-US" w:eastAsia="zh-CN"/>
        </w:rPr>
        <w:t>1212.05</w:t>
      </w:r>
      <w:r>
        <w:rPr>
          <w:rFonts w:ascii="仿宋" w:hAnsi="仿宋" w:eastAsia="仿宋" w:cs="仿宋"/>
          <w:sz w:val="32"/>
        </w:rPr>
        <w:t>万元，占</w:t>
      </w:r>
      <w:r>
        <w:rPr>
          <w:rFonts w:hint="eastAsia" w:ascii="仿宋" w:hAnsi="仿宋" w:eastAsia="仿宋" w:cs="仿宋"/>
          <w:sz w:val="32"/>
          <w:lang w:val="en-US" w:eastAsia="zh-CN"/>
        </w:rPr>
        <w:t>87.07</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 xml:space="preserve">占 </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年度财政拨款收入总计</w:t>
      </w:r>
      <w:r>
        <w:rPr>
          <w:rFonts w:hint="eastAsia" w:ascii="仿宋" w:hAnsi="仿宋" w:eastAsia="仿宋" w:cs="仿宋"/>
          <w:sz w:val="32"/>
          <w:lang w:val="en-US" w:eastAsia="zh-CN"/>
        </w:rPr>
        <w:t>1161.3</w:t>
      </w:r>
      <w:r>
        <w:rPr>
          <w:rFonts w:ascii="仿宋" w:hAnsi="仿宋" w:eastAsia="仿宋" w:cs="仿宋"/>
          <w:sz w:val="32"/>
        </w:rPr>
        <w:t>万元，比上年同期增加</w:t>
      </w:r>
      <w:r>
        <w:rPr>
          <w:rFonts w:hint="eastAsia" w:ascii="仿宋" w:hAnsi="仿宋" w:eastAsia="仿宋" w:cs="仿宋"/>
          <w:sz w:val="32"/>
          <w:lang w:val="en-US" w:eastAsia="zh-CN"/>
        </w:rPr>
        <w:t>739.53</w:t>
      </w:r>
      <w:r>
        <w:rPr>
          <w:rFonts w:ascii="仿宋" w:hAnsi="仿宋" w:eastAsia="仿宋" w:cs="仿宋"/>
          <w:sz w:val="32"/>
        </w:rPr>
        <w:t>万元，增长</w:t>
      </w:r>
      <w:r>
        <w:rPr>
          <w:rFonts w:hint="eastAsia" w:ascii="仿宋" w:hAnsi="仿宋" w:eastAsia="仿宋" w:cs="仿宋"/>
          <w:sz w:val="32"/>
          <w:lang w:val="en-US" w:eastAsia="zh-CN"/>
        </w:rPr>
        <w:t>175.34</w:t>
      </w:r>
      <w:r>
        <w:rPr>
          <w:rFonts w:ascii="仿宋" w:hAnsi="仿宋" w:eastAsia="仿宋" w:cs="仿宋"/>
          <w:sz w:val="32"/>
        </w:rPr>
        <w:t>%；财政拨款支出总</w:t>
      </w:r>
      <w:r>
        <w:rPr>
          <w:rFonts w:hint="eastAsia" w:ascii="仿宋" w:hAnsi="仿宋" w:eastAsia="仿宋" w:cs="仿宋"/>
          <w:sz w:val="32"/>
          <w:lang w:eastAsia="zh-CN"/>
        </w:rPr>
        <w:t>计</w:t>
      </w:r>
      <w:r>
        <w:rPr>
          <w:rFonts w:hint="eastAsia" w:ascii="仿宋" w:hAnsi="仿宋" w:eastAsia="仿宋" w:cs="仿宋"/>
          <w:sz w:val="32"/>
          <w:lang w:val="en-US" w:eastAsia="zh-CN"/>
        </w:rPr>
        <w:t>1161.3</w:t>
      </w:r>
      <w:r>
        <w:rPr>
          <w:rFonts w:ascii="仿宋" w:hAnsi="仿宋" w:eastAsia="仿宋" w:cs="仿宋"/>
          <w:sz w:val="32"/>
        </w:rPr>
        <w:t>万元，比上年同期增加</w:t>
      </w:r>
      <w:r>
        <w:rPr>
          <w:rFonts w:hint="eastAsia" w:ascii="仿宋" w:hAnsi="仿宋" w:eastAsia="仿宋" w:cs="仿宋"/>
          <w:sz w:val="32"/>
          <w:lang w:val="en-US" w:eastAsia="zh-CN"/>
        </w:rPr>
        <w:t>740.53</w:t>
      </w:r>
      <w:r>
        <w:rPr>
          <w:rFonts w:ascii="仿宋" w:hAnsi="仿宋" w:eastAsia="仿宋" w:cs="仿宋"/>
          <w:sz w:val="32"/>
        </w:rPr>
        <w:t>万元，增长</w:t>
      </w:r>
      <w:r>
        <w:rPr>
          <w:rFonts w:hint="eastAsia" w:ascii="仿宋" w:hAnsi="仿宋" w:eastAsia="仿宋" w:cs="仿宋"/>
          <w:sz w:val="32"/>
          <w:lang w:val="en-US" w:eastAsia="zh-CN"/>
        </w:rPr>
        <w:t>175.99</w:t>
      </w:r>
      <w:r>
        <w:rPr>
          <w:rFonts w:ascii="仿宋" w:hAnsi="仿宋" w:eastAsia="仿宋" w:cs="仿宋"/>
          <w:sz w:val="32"/>
        </w:rPr>
        <w:t>%。主要原因：</w:t>
      </w:r>
      <w:r>
        <w:rPr>
          <w:rFonts w:hint="eastAsia" w:ascii="仿宋" w:hAnsi="仿宋" w:eastAsia="仿宋" w:cs="仿宋"/>
          <w:sz w:val="32"/>
          <w:lang w:val="en-US" w:eastAsia="zh-CN"/>
        </w:rPr>
        <w:t>2021年项目增加，支出和拨款相应增加。</w:t>
      </w:r>
    </w:p>
    <w:p>
      <w:pPr>
        <w:ind w:firstLine="640"/>
        <w:jc w:val="left"/>
        <w:rPr>
          <w:rFonts w:ascii="黑体" w:hAnsi="黑体" w:eastAsia="黑体" w:cs="黑体"/>
          <w:sz w:val="32"/>
        </w:rPr>
      </w:pPr>
      <w:r>
        <w:rPr>
          <w:rFonts w:ascii="黑体" w:hAnsi="黑体" w:eastAsia="黑体" w:cs="黑体"/>
          <w:sz w:val="32"/>
        </w:rPr>
        <w:t>五、一般公共预算财政拨款收入支出决算情况说明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年度一般公共预算财政拨款收入总计</w:t>
      </w:r>
      <w:r>
        <w:rPr>
          <w:rFonts w:hint="eastAsia" w:ascii="仿宋" w:hAnsi="仿宋" w:eastAsia="仿宋" w:cs="仿宋"/>
          <w:sz w:val="32"/>
          <w:lang w:val="en-US" w:eastAsia="zh-CN"/>
        </w:rPr>
        <w:t xml:space="preserve">1161.3 </w:t>
      </w:r>
      <w:r>
        <w:rPr>
          <w:rFonts w:ascii="仿宋" w:hAnsi="仿宋" w:eastAsia="仿宋" w:cs="仿宋"/>
          <w:sz w:val="32"/>
        </w:rPr>
        <w:t>万元，比上年同期增加</w:t>
      </w:r>
      <w:r>
        <w:rPr>
          <w:rFonts w:hint="eastAsia" w:ascii="仿宋" w:hAnsi="仿宋" w:eastAsia="仿宋" w:cs="仿宋"/>
          <w:sz w:val="32"/>
          <w:lang w:val="en-US" w:eastAsia="zh-CN"/>
        </w:rPr>
        <w:t>739.53</w:t>
      </w:r>
      <w:r>
        <w:rPr>
          <w:rFonts w:ascii="仿宋" w:hAnsi="仿宋" w:eastAsia="仿宋" w:cs="仿宋"/>
          <w:sz w:val="32"/>
        </w:rPr>
        <w:t>万元，增长</w:t>
      </w:r>
      <w:r>
        <w:rPr>
          <w:rFonts w:hint="eastAsia" w:ascii="仿宋" w:hAnsi="仿宋" w:eastAsia="仿宋" w:cs="仿宋"/>
          <w:sz w:val="32"/>
          <w:lang w:val="en-US" w:eastAsia="zh-CN"/>
        </w:rPr>
        <w:t>175.34</w:t>
      </w:r>
      <w:r>
        <w:rPr>
          <w:rFonts w:ascii="仿宋" w:hAnsi="仿宋" w:eastAsia="仿宋" w:cs="仿宋"/>
          <w:sz w:val="32"/>
        </w:rPr>
        <w:t>%；一般公共预算财政拨款支出总计</w:t>
      </w:r>
      <w:r>
        <w:rPr>
          <w:rFonts w:hint="eastAsia" w:ascii="仿宋" w:hAnsi="仿宋" w:eastAsia="仿宋" w:cs="仿宋"/>
          <w:sz w:val="32"/>
          <w:lang w:val="en-US" w:eastAsia="zh-CN"/>
        </w:rPr>
        <w:t>1161.3</w:t>
      </w:r>
      <w:r>
        <w:rPr>
          <w:rFonts w:ascii="仿宋" w:hAnsi="仿宋" w:eastAsia="仿宋" w:cs="仿宋"/>
          <w:sz w:val="32"/>
        </w:rPr>
        <w:t>万元，比上年同期增加</w:t>
      </w:r>
      <w:r>
        <w:rPr>
          <w:rFonts w:hint="eastAsia" w:ascii="仿宋" w:hAnsi="仿宋" w:eastAsia="仿宋" w:cs="仿宋"/>
          <w:sz w:val="32"/>
          <w:lang w:val="en-US" w:eastAsia="zh-CN"/>
        </w:rPr>
        <w:t>740.53</w:t>
      </w:r>
      <w:r>
        <w:rPr>
          <w:rFonts w:ascii="仿宋" w:hAnsi="仿宋" w:eastAsia="仿宋" w:cs="仿宋"/>
          <w:sz w:val="32"/>
        </w:rPr>
        <w:t>万元，增长</w:t>
      </w:r>
      <w:r>
        <w:rPr>
          <w:rFonts w:hint="eastAsia" w:ascii="仿宋" w:hAnsi="仿宋" w:eastAsia="仿宋" w:cs="仿宋"/>
          <w:sz w:val="32"/>
          <w:lang w:val="en-US" w:eastAsia="zh-CN"/>
        </w:rPr>
        <w:t>175.99</w:t>
      </w:r>
      <w:r>
        <w:rPr>
          <w:rFonts w:ascii="仿宋" w:hAnsi="仿宋" w:eastAsia="仿宋" w:cs="仿宋"/>
          <w:sz w:val="32"/>
        </w:rPr>
        <w:t>%。主要原因：</w:t>
      </w:r>
      <w:r>
        <w:rPr>
          <w:rFonts w:hint="eastAsia" w:ascii="仿宋" w:hAnsi="仿宋" w:eastAsia="仿宋" w:cs="仿宋"/>
          <w:sz w:val="32"/>
          <w:lang w:val="en-US" w:eastAsia="zh-CN"/>
        </w:rPr>
        <w:t>2021年项目增加，支出和拨款相应增加。</w:t>
      </w:r>
    </w:p>
    <w:p>
      <w:pPr>
        <w:numPr>
          <w:ilvl w:val="0"/>
          <w:numId w:val="2"/>
        </w:numPr>
        <w:jc w:val="left"/>
        <w:rPr>
          <w:rFonts w:ascii="楷体" w:hAnsi="楷体" w:eastAsia="楷体" w:cs="楷体"/>
          <w:sz w:val="32"/>
        </w:rPr>
      </w:pPr>
      <w:r>
        <w:rPr>
          <w:rFonts w:ascii="楷体" w:hAnsi="楷体" w:eastAsia="楷体" w:cs="楷体"/>
          <w:sz w:val="32"/>
        </w:rPr>
        <w:t>一般公共预算财政拨款支出决算构成情况。</w:t>
      </w:r>
    </w:p>
    <w:p>
      <w:pPr>
        <w:numPr>
          <w:numId w:val="0"/>
        </w:numPr>
        <w:ind w:firstLine="640" w:firstLineChars="200"/>
        <w:jc w:val="left"/>
        <w:rPr>
          <w:rFonts w:hint="default" w:ascii="仿宋" w:hAnsi="仿宋" w:eastAsia="仿宋" w:cs="仿宋"/>
          <w:sz w:val="32"/>
          <w:lang w:val="en-US" w:eastAsia="zh-CN"/>
        </w:rPr>
      </w:pPr>
      <w:r>
        <w:rPr>
          <w:rFonts w:hint="eastAsia" w:ascii="仿宋" w:hAnsi="Times New Roman" w:eastAsia="仿宋"/>
          <w:color w:val="000000"/>
          <w:kern w:val="0"/>
          <w:sz w:val="32"/>
        </w:rPr>
        <w:t>一般公共预算拨款支出</w:t>
      </w:r>
      <w:r>
        <w:rPr>
          <w:rFonts w:hint="eastAsia" w:ascii="仿宋" w:hAnsi="仿宋" w:eastAsia="仿宋" w:cs="仿宋"/>
          <w:sz w:val="32"/>
          <w:lang w:val="en-US" w:eastAsia="zh-CN"/>
        </w:rPr>
        <w:t>1161.3</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其中一般公共服务支出</w:t>
      </w:r>
      <w:r>
        <w:rPr>
          <w:rFonts w:hint="eastAsia" w:ascii="仿宋" w:hAnsi="Times New Roman" w:eastAsia="仿宋"/>
          <w:color w:val="000000"/>
          <w:kern w:val="0"/>
          <w:sz w:val="32"/>
          <w:lang w:val="en-US" w:eastAsia="zh-CN"/>
        </w:rPr>
        <w:t>10万元，</w:t>
      </w:r>
      <w:r>
        <w:rPr>
          <w:rFonts w:hint="eastAsia" w:ascii="仿宋" w:hAnsi="Times New Roman" w:eastAsia="仿宋"/>
          <w:color w:val="000000"/>
          <w:sz w:val="32"/>
          <w:lang w:val="en-US" w:eastAsia="zh-CN"/>
        </w:rPr>
        <w:t>占0.86%。</w:t>
      </w:r>
      <w:r>
        <w:rPr>
          <w:rFonts w:hint="eastAsia" w:ascii="仿宋" w:hAnsi="Times New Roman" w:eastAsia="仿宋"/>
          <w:color w:val="000000"/>
          <w:sz w:val="32"/>
        </w:rPr>
        <w:t>社会保障和就业支出</w:t>
      </w:r>
      <w:r>
        <w:rPr>
          <w:rFonts w:hint="eastAsia" w:ascii="仿宋" w:hAnsi="Times New Roman" w:eastAsia="仿宋"/>
          <w:color w:val="000000"/>
          <w:sz w:val="32"/>
          <w:lang w:val="en-US" w:eastAsia="zh-CN"/>
        </w:rPr>
        <w:t>1138.45</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98.03</w:t>
      </w:r>
      <w:r>
        <w:rPr>
          <w:rFonts w:hint="eastAsia" w:ascii="仿宋" w:hAnsi="Times New Roman" w:eastAsia="仿宋"/>
          <w:color w:val="000000"/>
          <w:sz w:val="32"/>
        </w:rPr>
        <w:t>%</w:t>
      </w:r>
      <w:r>
        <w:rPr>
          <w:rFonts w:hint="eastAsia" w:ascii="仿宋" w:hAnsi="Times New Roman" w:eastAsia="仿宋"/>
          <w:color w:val="000000"/>
          <w:sz w:val="32"/>
          <w:lang w:eastAsia="zh-CN"/>
        </w:rPr>
        <w:t>，住房和保障支出</w:t>
      </w:r>
      <w:r>
        <w:rPr>
          <w:rFonts w:hint="eastAsia" w:ascii="仿宋" w:hAnsi="Times New Roman" w:eastAsia="仿宋"/>
          <w:color w:val="000000"/>
          <w:sz w:val="32"/>
          <w:lang w:val="en-US" w:eastAsia="zh-CN"/>
        </w:rPr>
        <w:t>4.76万元，</w:t>
      </w:r>
      <w:r>
        <w:rPr>
          <w:rFonts w:hint="eastAsia" w:ascii="仿宋" w:hAnsi="Times New Roman" w:eastAsia="仿宋"/>
          <w:color w:val="000000"/>
          <w:sz w:val="32"/>
        </w:rPr>
        <w:t>占</w:t>
      </w:r>
      <w:r>
        <w:rPr>
          <w:rFonts w:hint="eastAsia" w:ascii="仿宋" w:hAnsi="Times New Roman" w:eastAsia="仿宋"/>
          <w:color w:val="000000"/>
          <w:sz w:val="32"/>
          <w:lang w:val="en-US" w:eastAsia="zh-CN"/>
        </w:rPr>
        <w:t>0.41</w:t>
      </w:r>
      <w:r>
        <w:rPr>
          <w:rFonts w:hint="eastAsia" w:ascii="仿宋" w:hAnsi="Times New Roman" w:eastAsia="仿宋"/>
          <w:color w:val="000000"/>
          <w:sz w:val="32"/>
        </w:rPr>
        <w:t>%</w:t>
      </w:r>
      <w:r>
        <w:rPr>
          <w:rFonts w:hint="eastAsia" w:ascii="仿宋" w:hAnsi="Times New Roman" w:eastAsia="仿宋"/>
          <w:color w:val="000000"/>
          <w:sz w:val="32"/>
          <w:lang w:eastAsia="zh-CN"/>
        </w:rPr>
        <w:t>，</w:t>
      </w:r>
      <w:r>
        <w:rPr>
          <w:rFonts w:hint="eastAsia" w:ascii="仿宋" w:hAnsi="Times New Roman" w:eastAsia="仿宋"/>
          <w:color w:val="000000"/>
          <w:sz w:val="32"/>
          <w:lang w:val="en-US" w:eastAsia="zh-CN"/>
        </w:rPr>
        <w:t>卫生健康支出8.09万元，占0.7%。</w:t>
      </w:r>
    </w:p>
    <w:p>
      <w:pPr>
        <w:numPr>
          <w:ilvl w:val="0"/>
          <w:numId w:val="2"/>
        </w:numPr>
        <w:ind w:left="0" w:leftChars="0" w:firstLine="0" w:firstLineChars="0"/>
        <w:jc w:val="left"/>
        <w:rPr>
          <w:rFonts w:ascii="楷体" w:hAnsi="楷体" w:eastAsia="楷体" w:cs="楷体"/>
          <w:sz w:val="32"/>
        </w:rPr>
      </w:pPr>
      <w:r>
        <w:rPr>
          <w:rFonts w:ascii="楷体" w:hAnsi="楷体" w:eastAsia="楷体" w:cs="楷体"/>
          <w:sz w:val="32"/>
        </w:rPr>
        <w:t>一般公共预算财政拨款支出决算具体情况。</w:t>
      </w:r>
    </w:p>
    <w:p>
      <w:pPr>
        <w:numPr>
          <w:numId w:val="0"/>
        </w:numPr>
        <w:ind w:leftChars="0" w:firstLine="640" w:firstLineChars="200"/>
        <w:jc w:val="left"/>
        <w:rPr>
          <w:rFonts w:ascii="仿宋" w:hAnsi="仿宋" w:eastAsia="仿宋" w:cs="仿宋"/>
          <w:b/>
          <w:sz w:val="32"/>
        </w:rPr>
      </w:pPr>
      <w:bookmarkStart w:id="0" w:name="_GoBack"/>
      <w:bookmarkEnd w:id="0"/>
      <w:r>
        <w:rPr>
          <w:rFonts w:hint="eastAsia" w:ascii="仿宋" w:hAnsi="Times New Roman" w:eastAsia="仿宋"/>
          <w:color w:val="000000"/>
          <w:sz w:val="32"/>
        </w:rPr>
        <w:t>20</w:t>
      </w:r>
      <w:r>
        <w:rPr>
          <w:rFonts w:hint="eastAsia" w:ascii="仿宋" w:hAnsi="Times New Roman" w:eastAsia="仿宋"/>
          <w:color w:val="000000"/>
          <w:sz w:val="32"/>
          <w:lang w:val="en-US" w:eastAsia="zh-CN"/>
        </w:rPr>
        <w:t>21</w:t>
      </w:r>
      <w:r>
        <w:rPr>
          <w:rFonts w:hint="eastAsia" w:ascii="仿宋" w:hAnsi="Times New Roman" w:eastAsia="仿宋"/>
          <w:color w:val="000000"/>
          <w:sz w:val="32"/>
        </w:rPr>
        <w:t>年度财政拨款支出决算为</w:t>
      </w:r>
      <w:r>
        <w:rPr>
          <w:rFonts w:hint="eastAsia" w:ascii="仿宋" w:hAnsi="仿宋" w:eastAsia="仿宋" w:cs="仿宋"/>
          <w:sz w:val="32"/>
          <w:lang w:val="en-US" w:eastAsia="zh-CN"/>
        </w:rPr>
        <w:t>1161.3</w:t>
      </w:r>
      <w:r>
        <w:rPr>
          <w:rFonts w:hint="eastAsia" w:ascii="仿宋" w:hAnsi="Times New Roman" w:eastAsia="仿宋"/>
          <w:color w:val="000000"/>
          <w:sz w:val="32"/>
        </w:rPr>
        <w:t>万元，</w:t>
      </w:r>
      <w:r>
        <w:rPr>
          <w:rFonts w:hint="eastAsia" w:ascii="仿宋" w:hAnsi="Times New Roman" w:eastAsia="仿宋"/>
          <w:color w:val="000000"/>
          <w:sz w:val="32"/>
          <w:lang w:eastAsia="zh-CN"/>
        </w:rPr>
        <w:t>基本支出</w:t>
      </w:r>
      <w:r>
        <w:rPr>
          <w:rFonts w:hint="eastAsia" w:ascii="仿宋" w:hAnsi="Times New Roman" w:eastAsia="仿宋"/>
          <w:color w:val="000000"/>
          <w:sz w:val="32"/>
          <w:lang w:val="en-US" w:eastAsia="zh-CN"/>
        </w:rPr>
        <w:t>180.05万元。</w:t>
      </w:r>
      <w:r>
        <w:rPr>
          <w:rFonts w:hint="eastAsia" w:ascii="仿宋" w:hAnsi="Times New Roman" w:eastAsia="仿宋"/>
          <w:color w:val="000000"/>
          <w:kern w:val="0"/>
          <w:sz w:val="32"/>
        </w:rPr>
        <w:t>比上年</w:t>
      </w:r>
      <w:r>
        <w:rPr>
          <w:rFonts w:hint="eastAsia" w:ascii="仿宋" w:hAnsi="Times New Roman" w:eastAsia="仿宋"/>
          <w:color w:val="000000"/>
          <w:kern w:val="0"/>
          <w:sz w:val="32"/>
          <w:lang w:val="en-US" w:eastAsia="zh-CN"/>
        </w:rPr>
        <w:t>减少24.7</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Times New Roman" w:eastAsia="仿宋"/>
          <w:color w:val="000000"/>
          <w:kern w:val="0"/>
          <w:sz w:val="32"/>
          <w:lang w:val="en-US" w:eastAsia="zh-CN"/>
        </w:rPr>
        <w:t>2021年我单位在职</w:t>
      </w:r>
      <w:r>
        <w:rPr>
          <w:rFonts w:hint="eastAsia" w:ascii="仿宋" w:hAnsi="Times New Roman" w:eastAsia="仿宋"/>
          <w:color w:val="000000"/>
          <w:kern w:val="0"/>
          <w:sz w:val="32"/>
          <w:lang w:eastAsia="zh-CN"/>
        </w:rPr>
        <w:t>人员</w:t>
      </w:r>
      <w:r>
        <w:rPr>
          <w:rFonts w:hint="eastAsia" w:ascii="仿宋" w:hAnsi="Times New Roman" w:eastAsia="仿宋"/>
          <w:color w:val="000000"/>
          <w:kern w:val="0"/>
          <w:sz w:val="32"/>
          <w:lang w:val="en-US" w:eastAsia="zh-CN"/>
        </w:rPr>
        <w:t>减少</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lang w:val="zh-CN"/>
        </w:rPr>
        <w:t>按经济分类：</w:t>
      </w:r>
      <w:r>
        <w:rPr>
          <w:rFonts w:hint="eastAsia" w:ascii="仿宋" w:hAnsi="Times New Roman" w:eastAsia="仿宋"/>
          <w:color w:val="000000"/>
          <w:kern w:val="0"/>
          <w:sz w:val="32"/>
        </w:rPr>
        <w:t>工资福利支出</w:t>
      </w:r>
      <w:r>
        <w:rPr>
          <w:rFonts w:hint="eastAsia" w:ascii="仿宋" w:hAnsi="Times New Roman" w:eastAsia="仿宋"/>
          <w:color w:val="000000"/>
          <w:kern w:val="0"/>
          <w:sz w:val="32"/>
          <w:lang w:val="en-US" w:eastAsia="zh-CN"/>
        </w:rPr>
        <w:t>118.29</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val="en-US" w:eastAsia="zh-CN"/>
        </w:rPr>
        <w:t>减少37.27</w:t>
      </w:r>
      <w:r>
        <w:rPr>
          <w:rFonts w:hint="eastAsia" w:ascii="仿宋" w:hAnsi="Times New Roman" w:eastAsia="仿宋"/>
          <w:color w:val="000000"/>
          <w:kern w:val="0"/>
          <w:sz w:val="32"/>
        </w:rPr>
        <w:t>%。商品和服务支出</w:t>
      </w:r>
      <w:r>
        <w:rPr>
          <w:rFonts w:hint="eastAsia" w:ascii="仿宋" w:hAnsi="Times New Roman" w:eastAsia="仿宋"/>
          <w:color w:val="000000"/>
          <w:kern w:val="0"/>
          <w:sz w:val="32"/>
          <w:lang w:val="en-US" w:eastAsia="zh-CN"/>
        </w:rPr>
        <w:t>58.41</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19.62</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val="en-US" w:eastAsia="zh-CN"/>
        </w:rPr>
        <w:t>1.3</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rPr>
        <w:t>比上年</w:t>
      </w:r>
      <w:r>
        <w:rPr>
          <w:rFonts w:hint="eastAsia" w:ascii="仿宋" w:hAnsi="Times New Roman" w:eastAsia="仿宋"/>
          <w:color w:val="000000"/>
          <w:kern w:val="0"/>
          <w:sz w:val="32"/>
          <w:lang w:val="en-US" w:eastAsia="zh-CN"/>
        </w:rPr>
        <w:t>增加140.74</w:t>
      </w:r>
      <w:r>
        <w:rPr>
          <w:rFonts w:hint="eastAsia" w:ascii="仿宋" w:hAnsi="Times New Roman" w:eastAsia="仿宋"/>
          <w:color w:val="000000"/>
          <w:kern w:val="0"/>
          <w:sz w:val="32"/>
        </w:rPr>
        <w:t>%。项目支出</w:t>
      </w:r>
      <w:r>
        <w:rPr>
          <w:rFonts w:hint="eastAsia" w:ascii="仿宋" w:hAnsi="Times New Roman" w:eastAsia="仿宋"/>
          <w:color w:val="000000"/>
          <w:kern w:val="0"/>
          <w:sz w:val="32"/>
          <w:lang w:val="en-US" w:eastAsia="zh-CN"/>
        </w:rPr>
        <w:t>981.25</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440.13</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Times New Roman" w:eastAsia="仿宋"/>
          <w:color w:val="000000"/>
          <w:kern w:val="0"/>
          <w:sz w:val="32"/>
          <w:lang w:val="en-US" w:eastAsia="zh-CN"/>
        </w:rPr>
        <w:t>专项增加。</w:t>
      </w:r>
    </w:p>
    <w:p>
      <w:pPr>
        <w:ind w:firstLine="640"/>
        <w:jc w:val="left"/>
        <w:rPr>
          <w:rFonts w:ascii="黑体" w:hAnsi="黑体" w:eastAsia="黑体" w:cs="黑体"/>
          <w:sz w:val="32"/>
        </w:rPr>
      </w:pPr>
      <w:r>
        <w:rPr>
          <w:rFonts w:ascii="黑体" w:hAnsi="黑体" w:eastAsia="黑体" w:cs="黑体"/>
          <w:sz w:val="32"/>
        </w:rPr>
        <w:t>六、一般公共预算财政拨款基本支出决算情况说明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年度一般公共预算财政拨款基本支出</w:t>
      </w:r>
      <w:r>
        <w:rPr>
          <w:rFonts w:hint="eastAsia" w:ascii="仿宋" w:hAnsi="Times New Roman" w:eastAsia="仿宋"/>
          <w:color w:val="000000"/>
          <w:sz w:val="32"/>
          <w:lang w:val="en-US" w:eastAsia="zh-CN"/>
        </w:rPr>
        <w:t>180.05</w:t>
      </w:r>
      <w:r>
        <w:rPr>
          <w:rFonts w:ascii="仿宋" w:hAnsi="仿宋" w:eastAsia="仿宋" w:cs="仿宋"/>
          <w:sz w:val="32"/>
        </w:rPr>
        <w:t>万元，其中人员经费支出</w:t>
      </w:r>
      <w:r>
        <w:rPr>
          <w:rFonts w:hint="eastAsia" w:ascii="仿宋" w:hAnsi="仿宋" w:eastAsia="仿宋" w:cs="仿宋"/>
          <w:sz w:val="32"/>
          <w:lang w:val="en-US" w:eastAsia="zh-CN"/>
        </w:rPr>
        <w:t>120.34</w:t>
      </w:r>
      <w:r>
        <w:rPr>
          <w:rFonts w:ascii="仿宋" w:hAnsi="仿宋" w:eastAsia="仿宋" w:cs="仿宋"/>
          <w:sz w:val="32"/>
        </w:rPr>
        <w:t>万元，主要包括：</w:t>
      </w:r>
      <w:r>
        <w:rPr>
          <w:rFonts w:ascii="仿宋" w:hAnsi="仿宋" w:eastAsia="仿宋" w:cs="仿宋"/>
          <w:i w:val="0"/>
          <w:iCs w:val="0"/>
          <w:caps w:val="0"/>
          <w:color w:val="000000"/>
          <w:spacing w:val="0"/>
          <w:sz w:val="32"/>
          <w:szCs w:val="32"/>
          <w:shd w:val="clear" w:fill="FFFFFF"/>
        </w:rPr>
        <w:t>基本工资、津贴补贴、奖金、伙食补助费、其他对个人和家庭的补助、养老金、住房公积金、基本医疗保险等；</w:t>
      </w:r>
      <w:r>
        <w:rPr>
          <w:rFonts w:ascii="仿宋" w:hAnsi="仿宋" w:eastAsia="仿宋" w:cs="仿宋"/>
          <w:sz w:val="32"/>
        </w:rPr>
        <w:t>公用经费支出</w:t>
      </w:r>
      <w:r>
        <w:rPr>
          <w:rFonts w:hint="eastAsia" w:ascii="仿宋" w:hAnsi="仿宋" w:eastAsia="仿宋" w:cs="仿宋"/>
          <w:sz w:val="32"/>
          <w:lang w:val="en-US" w:eastAsia="zh-CN"/>
        </w:rPr>
        <w:t>59.71</w:t>
      </w:r>
      <w:r>
        <w:rPr>
          <w:rFonts w:ascii="仿宋" w:hAnsi="仿宋" w:eastAsia="仿宋" w:cs="仿宋"/>
          <w:sz w:val="32"/>
        </w:rPr>
        <w:t>万元。主要包括：</w:t>
      </w:r>
      <w:r>
        <w:rPr>
          <w:rFonts w:hint="eastAsia" w:ascii="仿宋" w:hAnsi="仿宋" w:eastAsia="仿宋" w:cs="仿宋"/>
          <w:sz w:val="32"/>
        </w:rPr>
        <w:t>办公费、印刷费、手续费、水费、电费、邮电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黑体" w:hAnsi="黑体" w:eastAsia="黑体" w:cs="黑体"/>
          <w:sz w:val="32"/>
        </w:rPr>
      </w:pPr>
      <w:r>
        <w:rPr>
          <w:rFonts w:ascii="黑体" w:hAnsi="黑体" w:eastAsia="黑体" w:cs="黑体"/>
          <w:sz w:val="32"/>
        </w:rPr>
        <w:t>七、政府性基金预算财政拨款</w:t>
      </w:r>
      <w:r>
        <w:rPr>
          <w:rFonts w:hint="eastAsia" w:ascii="黑体" w:hAnsi="黑体" w:eastAsia="黑体" w:cs="黑体"/>
          <w:sz w:val="32"/>
        </w:rPr>
        <w:t>收入</w:t>
      </w:r>
      <w:r>
        <w:rPr>
          <w:rFonts w:ascii="黑体" w:hAnsi="黑体" w:eastAsia="黑体" w:cs="黑体"/>
          <w:sz w:val="32"/>
        </w:rPr>
        <w:t>支出决算情况</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w:t>
      </w:r>
    </w:p>
    <w:p>
      <w:pPr>
        <w:ind w:firstLine="640"/>
        <w:jc w:val="left"/>
        <w:rPr>
          <w:rFonts w:ascii="黑体" w:hAnsi="黑体" w:eastAsia="黑体" w:cs="黑体"/>
          <w:sz w:val="32"/>
        </w:rPr>
      </w:pPr>
      <w:r>
        <w:rPr>
          <w:rFonts w:ascii="黑体" w:hAnsi="黑体" w:eastAsia="黑体" w:cs="黑体"/>
          <w:sz w:val="32"/>
        </w:rPr>
        <w:t>八、一般公共预算财政拨款“三公”经费支出决算情况说明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年度“三公”经费财政拨款支出预算为</w:t>
      </w:r>
      <w:r>
        <w:rPr>
          <w:rFonts w:hint="eastAsia" w:ascii="仿宋" w:hAnsi="仿宋" w:eastAsia="仿宋" w:cs="仿宋"/>
          <w:sz w:val="32"/>
          <w:lang w:val="en-US" w:eastAsia="zh-CN"/>
        </w:rPr>
        <w:t>3</w:t>
      </w:r>
      <w:r>
        <w:rPr>
          <w:rFonts w:ascii="仿宋" w:hAnsi="仿宋" w:eastAsia="仿宋" w:cs="仿宋"/>
          <w:sz w:val="32"/>
        </w:rPr>
        <w:t>万元，支出决算为</w:t>
      </w:r>
      <w:r>
        <w:rPr>
          <w:rFonts w:hint="eastAsia" w:ascii="仿宋" w:hAnsi="仿宋" w:eastAsia="仿宋" w:cs="仿宋"/>
          <w:sz w:val="32"/>
          <w:lang w:val="en-US" w:eastAsia="zh-CN"/>
        </w:rPr>
        <w:t>2.65</w:t>
      </w:r>
      <w:r>
        <w:rPr>
          <w:rFonts w:ascii="仿宋" w:hAnsi="仿宋" w:eastAsia="仿宋" w:cs="仿宋"/>
          <w:sz w:val="32"/>
        </w:rPr>
        <w:t>万元，</w:t>
      </w:r>
      <w:r>
        <w:rPr>
          <w:rFonts w:ascii="仿宋" w:hAnsi="仿宋" w:eastAsia="仿宋" w:cs="仿宋"/>
          <w:i w:val="0"/>
          <w:iCs w:val="0"/>
          <w:caps w:val="0"/>
          <w:color w:val="000000"/>
          <w:spacing w:val="0"/>
          <w:sz w:val="32"/>
          <w:szCs w:val="32"/>
          <w:shd w:val="clear" w:fill="FFFFFF"/>
        </w:rPr>
        <w:t>完成预算的</w:t>
      </w:r>
      <w:r>
        <w:rPr>
          <w:rFonts w:hint="eastAsia" w:ascii="仿宋" w:hAnsi="仿宋" w:eastAsia="仿宋" w:cs="仿宋"/>
          <w:i w:val="0"/>
          <w:iCs w:val="0"/>
          <w:caps w:val="0"/>
          <w:color w:val="000000"/>
          <w:spacing w:val="0"/>
          <w:sz w:val="32"/>
          <w:szCs w:val="32"/>
          <w:shd w:val="clear" w:fill="FFFFFF"/>
          <w:lang w:val="en-US" w:eastAsia="zh-CN"/>
        </w:rPr>
        <w:t>88.33</w:t>
      </w:r>
      <w:r>
        <w:rPr>
          <w:rFonts w:ascii="仿宋" w:hAnsi="仿宋" w:eastAsia="仿宋" w:cs="仿宋"/>
          <w:i w:val="0"/>
          <w:iCs w:val="0"/>
          <w:caps w:val="0"/>
          <w:color w:val="000000"/>
          <w:spacing w:val="0"/>
          <w:sz w:val="32"/>
          <w:szCs w:val="32"/>
          <w:shd w:val="clear" w:fill="FFFFFF"/>
        </w:rPr>
        <w:t>%，</w:t>
      </w:r>
      <w:r>
        <w:rPr>
          <w:rFonts w:ascii="仿宋" w:hAnsi="仿宋" w:eastAsia="仿宋" w:cs="仿宋"/>
          <w:sz w:val="32"/>
        </w:rPr>
        <w:t>其中：公务接待费支出决算为</w:t>
      </w:r>
      <w:r>
        <w:rPr>
          <w:rFonts w:hint="eastAsia" w:ascii="仿宋" w:hAnsi="仿宋" w:eastAsia="仿宋" w:cs="仿宋"/>
          <w:sz w:val="32"/>
          <w:lang w:val="en-US" w:eastAsia="zh-CN"/>
        </w:rPr>
        <w:t>2.65</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年度“三公”经费支出决算数</w:t>
      </w:r>
      <w:r>
        <w:rPr>
          <w:rFonts w:hint="eastAsia" w:ascii="仿宋" w:hAnsi="仿宋" w:eastAsia="仿宋" w:cs="仿宋"/>
          <w:sz w:val="32"/>
          <w:lang w:eastAsia="zh-CN"/>
        </w:rPr>
        <w:t>小</w:t>
      </w:r>
      <w:r>
        <w:rPr>
          <w:rFonts w:ascii="仿宋" w:hAnsi="仿宋" w:eastAsia="仿宋" w:cs="仿宋"/>
          <w:sz w:val="32"/>
        </w:rPr>
        <w:t>于预算数的主要原因：</w:t>
      </w:r>
      <w:r>
        <w:rPr>
          <w:rFonts w:hint="eastAsia" w:ascii="仿宋" w:hAnsi="仿宋" w:eastAsia="仿宋" w:cs="仿宋"/>
          <w:sz w:val="32"/>
          <w:lang w:eastAsia="zh-CN"/>
        </w:rPr>
        <w:t>响应八项规定，减少接待开支</w:t>
      </w:r>
      <w:r>
        <w:rPr>
          <w:rFonts w:hint="eastAsia" w:ascii="仿宋" w:hAnsi="仿宋" w:eastAsia="仿宋" w:cs="仿宋"/>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年度“三公”经费财政拨款支出决算为</w:t>
      </w:r>
      <w:r>
        <w:rPr>
          <w:rFonts w:hint="eastAsia" w:ascii="仿宋" w:hAnsi="仿宋" w:eastAsia="仿宋" w:cs="仿宋"/>
          <w:sz w:val="32"/>
          <w:lang w:val="en-US" w:eastAsia="zh-CN"/>
        </w:rPr>
        <w:t>2.65</w:t>
      </w:r>
      <w:r>
        <w:rPr>
          <w:rFonts w:ascii="仿宋" w:hAnsi="仿宋" w:eastAsia="仿宋" w:cs="仿宋"/>
          <w:sz w:val="32"/>
        </w:rPr>
        <w:t>万元，其中：公务接待费支出决算为</w:t>
      </w:r>
      <w:r>
        <w:rPr>
          <w:rFonts w:hint="eastAsia" w:ascii="仿宋" w:hAnsi="仿宋" w:eastAsia="仿宋" w:cs="仿宋"/>
          <w:sz w:val="32"/>
          <w:lang w:val="en-US" w:eastAsia="zh-CN"/>
        </w:rPr>
        <w:t>2.65</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w:t>
      </w:r>
    </w:p>
    <w:p>
      <w:pPr>
        <w:numPr>
          <w:ilvl w:val="0"/>
          <w:numId w:val="3"/>
        </w:numPr>
        <w:ind w:firstLine="640"/>
        <w:jc w:val="left"/>
        <w:rPr>
          <w:rFonts w:hint="eastAsia" w:ascii="黑体" w:hAnsi="黑体" w:eastAsia="黑体" w:cs="黑体"/>
          <w:sz w:val="32"/>
        </w:rPr>
      </w:pPr>
      <w:r>
        <w:rPr>
          <w:rFonts w:hint="eastAsia" w:ascii="黑体" w:hAnsi="黑体" w:eastAsia="黑体" w:cs="黑体"/>
          <w:sz w:val="32"/>
        </w:rPr>
        <w:t>关于 20</w:t>
      </w:r>
      <w:r>
        <w:rPr>
          <w:rFonts w:hint="eastAsia" w:ascii="黑体" w:hAnsi="黑体" w:eastAsia="黑体" w:cs="黑体"/>
          <w:sz w:val="32"/>
          <w:lang w:val="en-US" w:eastAsia="zh-CN"/>
        </w:rPr>
        <w:t>21</w:t>
      </w:r>
      <w:r>
        <w:rPr>
          <w:rFonts w:hint="eastAsia" w:ascii="黑体" w:hAnsi="黑体" w:eastAsia="黑体" w:cs="黑体"/>
          <w:sz w:val="32"/>
        </w:rPr>
        <w:t>年度预算绩效情况说明</w:t>
      </w:r>
    </w:p>
    <w:p>
      <w:pPr>
        <w:numPr>
          <w:ilvl w:val="0"/>
          <w:numId w:val="4"/>
        </w:numPr>
        <w:ind w:firstLine="640" w:firstLineChars="200"/>
        <w:jc w:val="left"/>
        <w:rPr>
          <w:rFonts w:hint="eastAsia" w:ascii="仿宋" w:hAnsi="Times New Roman" w:eastAsia="仿宋"/>
          <w:kern w:val="0"/>
          <w:sz w:val="32"/>
        </w:rPr>
      </w:pPr>
      <w:r>
        <w:rPr>
          <w:rFonts w:hint="eastAsia" w:ascii="仿宋" w:hAnsi="Times New Roman" w:eastAsia="仿宋"/>
          <w:kern w:val="0"/>
          <w:sz w:val="32"/>
        </w:rPr>
        <w:t>绩效管理工作开展情况。</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根据年初设定的绩效目标，认真抓好项目支出，项目均达到了项目申请时设定的各项绩效目标。</w:t>
      </w:r>
    </w:p>
    <w:p>
      <w:pPr>
        <w:numPr>
          <w:ilvl w:val="0"/>
          <w:numId w:val="4"/>
        </w:numPr>
        <w:ind w:left="0" w:leftChars="0" w:firstLine="640" w:firstLineChars="200"/>
        <w:jc w:val="left"/>
        <w:rPr>
          <w:rFonts w:hint="eastAsia" w:ascii="仿宋" w:hAnsi="Times New Roman" w:eastAsia="仿宋"/>
          <w:kern w:val="0"/>
          <w:sz w:val="32"/>
        </w:rPr>
      </w:pPr>
      <w:r>
        <w:rPr>
          <w:rFonts w:hint="eastAsia" w:ascii="仿宋" w:hAnsi="Times New Roman" w:eastAsia="仿宋"/>
          <w:kern w:val="0"/>
          <w:sz w:val="32"/>
        </w:rPr>
        <w:t>部门决算中项目绩效自评结果。</w:t>
      </w:r>
    </w:p>
    <w:p>
      <w:pPr>
        <w:numPr>
          <w:ilvl w:val="0"/>
          <w:numId w:val="0"/>
        </w:numPr>
        <w:ind w:leftChars="200" w:firstLine="320" w:firstLineChars="100"/>
        <w:jc w:val="left"/>
        <w:rPr>
          <w:rFonts w:hint="eastAsia" w:ascii="仿宋" w:hAnsi="Times New Roman" w:eastAsia="仿宋"/>
          <w:color w:val="000000"/>
          <w:kern w:val="0"/>
          <w:sz w:val="32"/>
        </w:rPr>
      </w:pPr>
      <w:r>
        <w:rPr>
          <w:rFonts w:hint="eastAsia" w:ascii="仿宋" w:hAnsi="Times New Roman" w:eastAsia="仿宋"/>
          <w:color w:val="000000"/>
          <w:kern w:val="0"/>
          <w:sz w:val="32"/>
        </w:rPr>
        <w:t>20</w:t>
      </w:r>
      <w:r>
        <w:rPr>
          <w:rFonts w:hint="eastAsia" w:ascii="仿宋" w:hAnsi="Times New Roman" w:eastAsia="仿宋"/>
          <w:color w:val="000000"/>
          <w:kern w:val="0"/>
          <w:sz w:val="32"/>
          <w:lang w:val="en-US" w:eastAsia="zh-CN"/>
        </w:rPr>
        <w:t>21</w:t>
      </w:r>
      <w:r>
        <w:rPr>
          <w:rFonts w:hint="eastAsia" w:ascii="仿宋" w:hAnsi="Times New Roman" w:eastAsia="仿宋"/>
          <w:color w:val="000000"/>
          <w:kern w:val="0"/>
          <w:sz w:val="32"/>
        </w:rPr>
        <w:t>年部门决算中项目绩效自评结果为良好。</w:t>
      </w:r>
    </w:p>
    <w:p>
      <w:pPr>
        <w:spacing w:beforeLines="0" w:afterLines="0"/>
        <w:ind w:firstLine="640" w:firstLineChars="200"/>
        <w:rPr>
          <w:rFonts w:hint="default" w:ascii="仿宋" w:hAnsi="Times New Roman" w:eastAsia="仿宋"/>
          <w:kern w:val="0"/>
          <w:sz w:val="32"/>
        </w:rPr>
      </w:pPr>
      <w:r>
        <w:rPr>
          <w:rFonts w:hint="eastAsia" w:ascii="仿宋" w:hAnsi="Times New Roman" w:eastAsia="仿宋"/>
          <w:kern w:val="0"/>
          <w:sz w:val="32"/>
        </w:rPr>
        <w:t>（三）以部门为主体开展的重点绩效评价结果。</w:t>
      </w:r>
    </w:p>
    <w:p>
      <w:pPr>
        <w:ind w:firstLine="640"/>
        <w:jc w:val="left"/>
        <w:rPr>
          <w:rFonts w:ascii="仿宋" w:hAnsi="仿宋" w:eastAsia="仿宋" w:cs="仿宋"/>
          <w:sz w:val="32"/>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21</w:t>
      </w:r>
      <w:r>
        <w:rPr>
          <w:rFonts w:hint="eastAsia" w:ascii="仿宋" w:hAnsi="Times New Roman" w:eastAsia="仿宋"/>
          <w:color w:val="000000"/>
          <w:sz w:val="32"/>
        </w:rPr>
        <w:t>年</w:t>
      </w:r>
      <w:r>
        <w:rPr>
          <w:rFonts w:hint="eastAsia" w:ascii="仿宋" w:hAnsi="Times New Roman" w:eastAsia="仿宋"/>
          <w:color w:val="000000"/>
          <w:sz w:val="32"/>
          <w:lang w:eastAsia="zh-CN"/>
        </w:rPr>
        <w:t>我单位</w:t>
      </w:r>
      <w:r>
        <w:rPr>
          <w:rFonts w:hint="eastAsia" w:ascii="仿宋" w:hAnsi="Times New Roman" w:eastAsia="仿宋"/>
          <w:color w:val="000000"/>
          <w:sz w:val="32"/>
        </w:rPr>
        <w:t>项</w:t>
      </w:r>
      <w:r>
        <w:rPr>
          <w:rFonts w:hint="eastAsia" w:ascii="仿宋" w:hAnsi="Times New Roman" w:eastAsia="仿宋"/>
          <w:color w:val="000000"/>
          <w:sz w:val="32"/>
          <w:lang w:eastAsia="zh-CN"/>
        </w:rPr>
        <w:t>目支出</w:t>
      </w:r>
      <w:r>
        <w:rPr>
          <w:rFonts w:hint="eastAsia" w:ascii="仿宋" w:hAnsi="Times New Roman" w:eastAsia="仿宋"/>
          <w:color w:val="000000"/>
          <w:sz w:val="32"/>
          <w:lang w:val="en-US" w:eastAsia="zh-CN"/>
        </w:rPr>
        <w:t>1212.05</w:t>
      </w:r>
      <w:r>
        <w:rPr>
          <w:rFonts w:hint="eastAsia" w:ascii="仿宋" w:hAnsi="Times New Roman" w:eastAsia="仿宋"/>
          <w:color w:val="000000"/>
          <w:sz w:val="32"/>
        </w:rPr>
        <w:t>万元</w:t>
      </w:r>
      <w:r>
        <w:rPr>
          <w:rFonts w:hint="default" w:ascii="仿宋" w:hAnsi="Times New Roman" w:eastAsia="仿宋"/>
          <w:color w:val="000000"/>
          <w:sz w:val="32"/>
        </w:rPr>
        <w:t>,</w:t>
      </w:r>
      <w:r>
        <w:rPr>
          <w:rFonts w:hint="eastAsia" w:ascii="仿宋" w:hAnsi="Times New Roman" w:eastAsia="仿宋"/>
          <w:color w:val="000000"/>
          <w:sz w:val="32"/>
        </w:rPr>
        <w:t>专项资金项目总体评价是：项目科学合理，项目管理规范，项目监管到位，项目完成较好，项目质量较高</w:t>
      </w:r>
      <w:r>
        <w:rPr>
          <w:rFonts w:hint="eastAsia" w:ascii="方正仿宋简体" w:hAnsi="方正仿宋简体" w:eastAsia="方正仿宋简体"/>
          <w:color w:val="000000"/>
          <w:sz w:val="32"/>
        </w:rPr>
        <w:t>。</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一</w:t>
      </w:r>
      <w:r>
        <w:rPr>
          <w:rFonts w:ascii="楷体" w:hAnsi="楷体" w:eastAsia="楷体" w:cs="楷体"/>
          <w:sz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59.71</w:t>
      </w:r>
      <w:r>
        <w:rPr>
          <w:rFonts w:ascii="仿宋" w:hAnsi="仿宋" w:eastAsia="仿宋" w:cs="仿宋"/>
          <w:sz w:val="32"/>
        </w:rPr>
        <w:t>万元，较上年增加</w:t>
      </w:r>
      <w:r>
        <w:rPr>
          <w:rFonts w:hint="eastAsia" w:ascii="仿宋" w:hAnsi="仿宋" w:eastAsia="仿宋" w:cs="仿宋"/>
          <w:sz w:val="32"/>
          <w:lang w:val="en-US" w:eastAsia="zh-CN"/>
        </w:rPr>
        <w:t>10.34</w:t>
      </w:r>
      <w:r>
        <w:rPr>
          <w:rFonts w:ascii="仿宋" w:hAnsi="仿宋" w:eastAsia="仿宋" w:cs="仿宋"/>
          <w:sz w:val="32"/>
        </w:rPr>
        <w:t>万元，增</w:t>
      </w:r>
      <w:r>
        <w:rPr>
          <w:rFonts w:hint="eastAsia" w:ascii="仿宋" w:hAnsi="仿宋" w:eastAsia="仿宋" w:cs="仿宋"/>
          <w:sz w:val="32"/>
          <w:lang w:eastAsia="zh-CN"/>
        </w:rPr>
        <w:t>加</w:t>
      </w:r>
      <w:r>
        <w:rPr>
          <w:rFonts w:hint="eastAsia" w:ascii="仿宋" w:hAnsi="仿宋" w:eastAsia="仿宋" w:cs="仿宋"/>
          <w:sz w:val="32"/>
          <w:lang w:val="en-US" w:eastAsia="zh-CN"/>
        </w:rPr>
        <w:t>20.94</w:t>
      </w:r>
      <w:r>
        <w:rPr>
          <w:rFonts w:ascii="仿宋" w:hAnsi="仿宋" w:eastAsia="仿宋" w:cs="仿宋"/>
          <w:sz w:val="32"/>
        </w:rPr>
        <w:t>%，主要原因是</w:t>
      </w:r>
      <w:r>
        <w:rPr>
          <w:rFonts w:hint="eastAsia" w:ascii="仿宋_GB2312" w:eastAsia="仿宋_GB2312"/>
          <w:sz w:val="32"/>
          <w:szCs w:val="32"/>
        </w:rPr>
        <w:t>：</w:t>
      </w:r>
      <w:r>
        <w:rPr>
          <w:rFonts w:ascii="仿宋" w:hAnsi="仿宋" w:eastAsia="仿宋" w:cs="仿宋"/>
          <w:i w:val="0"/>
          <w:iCs w:val="0"/>
          <w:caps w:val="0"/>
          <w:color w:val="333333"/>
          <w:spacing w:val="0"/>
          <w:sz w:val="32"/>
          <w:szCs w:val="32"/>
          <w:shd w:val="clear" w:fill="FFFFFF"/>
        </w:rPr>
        <w:t>工作内容增加、工作任务加重导致业务开支增大。</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二</w:t>
      </w:r>
      <w:r>
        <w:rPr>
          <w:rFonts w:ascii="楷体" w:hAnsi="楷体" w:eastAsia="楷体" w:cs="楷体"/>
          <w:sz w:val="32"/>
        </w:rPr>
        <w:t>）政府采购支出情况。</w:t>
      </w:r>
    </w:p>
    <w:p>
      <w:pPr>
        <w:ind w:firstLine="640"/>
        <w:jc w:val="left"/>
        <w:rPr>
          <w:rFonts w:hint="eastAsia" w:ascii="仿宋" w:hAnsi="仿宋" w:eastAsia="仿宋" w:cs="仿宋"/>
          <w:sz w:val="32"/>
          <w:lang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年度政府采购</w:t>
      </w:r>
      <w:r>
        <w:rPr>
          <w:rFonts w:hint="eastAsia" w:ascii="仿宋" w:hAnsi="仿宋" w:eastAsia="仿宋" w:cs="仿宋"/>
          <w:sz w:val="32"/>
          <w:lang w:val="en-US" w:eastAsia="zh-CN"/>
        </w:rPr>
        <w:t>0</w:t>
      </w:r>
      <w:r>
        <w:rPr>
          <w:rFonts w:ascii="仿宋" w:hAnsi="仿宋" w:eastAsia="仿宋" w:cs="仿宋"/>
          <w:sz w:val="32"/>
        </w:rPr>
        <w:t>万元，其中，政府采购货物支出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lang w:eastAsia="zh-CN"/>
        </w:rPr>
        <w:t>三</w:t>
      </w:r>
      <w:r>
        <w:rPr>
          <w:rFonts w:ascii="楷体" w:hAnsi="楷体" w:eastAsia="楷体" w:cs="楷体"/>
          <w:sz w:val="32"/>
        </w:rPr>
        <w:t>）国有资产占用情况。</w:t>
      </w:r>
    </w:p>
    <w:p>
      <w:pPr>
        <w:keepNext/>
        <w:keepLines/>
        <w:autoSpaceDE w:val="0"/>
        <w:autoSpaceDN w:val="0"/>
        <w:adjustRightInd w:val="0"/>
        <w:spacing w:beforeLines="0" w:afterLines="0"/>
        <w:ind w:firstLine="640"/>
        <w:rPr>
          <w:rFonts w:hint="eastAsia" w:ascii="黑体" w:hAnsi="黑体" w:eastAsia="黑体" w:cs="黑体"/>
          <w:b w:val="0"/>
          <w:bCs w:val="0"/>
          <w:sz w:val="32"/>
          <w:szCs w:val="32"/>
        </w:rPr>
      </w:pPr>
      <w:r>
        <w:rPr>
          <w:rFonts w:hint="eastAsia" w:ascii="仿宋" w:hAnsi="Times New Roman" w:eastAsia="仿宋"/>
          <w:color w:val="000000"/>
          <w:sz w:val="32"/>
        </w:rPr>
        <w:t>本单位年末无车辆。年末无单价50万元以上通用设备。年末无单价100万元以上通用设备。</w:t>
      </w:r>
    </w:p>
    <w:p>
      <w:pPr>
        <w:ind w:firstLine="640" w:firstLineChars="200"/>
        <w:jc w:val="left"/>
        <w:rPr>
          <w:rFonts w:ascii="仿宋" w:hAnsi="仿宋" w:eastAsia="仿宋" w:cs="仿宋"/>
          <w:b/>
          <w:sz w:val="32"/>
        </w:rPr>
      </w:pPr>
      <w:r>
        <w:rPr>
          <w:rFonts w:hint="eastAsia" w:ascii="黑体" w:hAnsi="黑体" w:eastAsia="黑体" w:cs="黑体"/>
          <w:b w:val="0"/>
          <w:bCs w:val="0"/>
          <w:sz w:val="32"/>
          <w:szCs w:val="32"/>
        </w:rPr>
        <w:t>第四部分 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黑体" w:hAnsi="Times New Roman" w:eastAsia="黑体"/>
          <w:sz w:val="32"/>
        </w:rPr>
      </w:pPr>
      <w:r>
        <w:rPr>
          <w:rFonts w:hint="eastAsia" w:ascii="黑体" w:hAnsi="Times New Roman" w:eastAsia="黑体"/>
          <w:sz w:val="32"/>
        </w:rPr>
        <w:t>第五部分 附件</w:t>
      </w:r>
    </w:p>
    <w:p>
      <w:pPr>
        <w:ind w:firstLine="643"/>
        <w:jc w:val="left"/>
        <w:rPr>
          <w:rFonts w:hint="default" w:ascii="Times New Roman" w:hAnsi="Times New Roman" w:eastAsia="仿宋"/>
          <w:b/>
          <w:sz w:val="32"/>
          <w:lang w:val="zh-CN"/>
        </w:rPr>
      </w:pPr>
      <w:r>
        <w:rPr>
          <w:rFonts w:hint="eastAsia" w:ascii="仿宋" w:hAnsi="Times New Roman" w:eastAsia="仿宋"/>
          <w:sz w:val="32"/>
        </w:rPr>
        <w:t>附件：20</w:t>
      </w:r>
      <w:r>
        <w:rPr>
          <w:rFonts w:hint="eastAsia" w:ascii="仿宋" w:hAnsi="Times New Roman" w:eastAsia="仿宋"/>
          <w:sz w:val="32"/>
          <w:lang w:val="en-US" w:eastAsia="zh-CN"/>
        </w:rPr>
        <w:t>21</w:t>
      </w:r>
      <w:r>
        <w:rPr>
          <w:rFonts w:hint="eastAsia" w:ascii="仿宋" w:hAnsi="Times New Roman" w:eastAsia="仿宋"/>
          <w:sz w:val="32"/>
        </w:rPr>
        <w:t>年度沅江市</w:t>
      </w:r>
      <w:r>
        <w:rPr>
          <w:rFonts w:hint="eastAsia" w:ascii="仿宋" w:hAnsi="Times New Roman" w:eastAsia="仿宋"/>
          <w:sz w:val="32"/>
          <w:lang w:eastAsia="zh-CN"/>
        </w:rPr>
        <w:t>退役军人事务</w:t>
      </w:r>
      <w:r>
        <w:rPr>
          <w:rFonts w:hint="eastAsia" w:ascii="仿宋" w:hAnsi="Times New Roman" w:eastAsia="仿宋"/>
          <w:sz w:val="32"/>
        </w:rPr>
        <w:t>局部门决算公开表格</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CA8F"/>
    <w:multiLevelType w:val="singleLevel"/>
    <w:tmpl w:val="F2CCCA8F"/>
    <w:lvl w:ilvl="0" w:tentative="0">
      <w:start w:val="9"/>
      <w:numFmt w:val="chineseCounting"/>
      <w:suff w:val="nothing"/>
      <w:lvlText w:val="%1、"/>
      <w:lvlJc w:val="left"/>
      <w:rPr>
        <w:rFonts w:hint="eastAsia"/>
      </w:rPr>
    </w:lvl>
  </w:abstractNum>
  <w:abstractNum w:abstractNumId="1">
    <w:nsid w:val="F3702ECC"/>
    <w:multiLevelType w:val="singleLevel"/>
    <w:tmpl w:val="F3702ECC"/>
    <w:lvl w:ilvl="0" w:tentative="0">
      <w:start w:val="1"/>
      <w:numFmt w:val="chineseCounting"/>
      <w:suff w:val="nothing"/>
      <w:lvlText w:val="（%1）"/>
      <w:lvlJc w:val="left"/>
      <w:rPr>
        <w:rFonts w:hint="eastAsia"/>
      </w:rPr>
    </w:lvl>
  </w:abstractNum>
  <w:abstractNum w:abstractNumId="2">
    <w:nsid w:val="549B7EE0"/>
    <w:multiLevelType w:val="multilevel"/>
    <w:tmpl w:val="549B7EE0"/>
    <w:lvl w:ilvl="0" w:tentative="0">
      <w:start w:val="1"/>
      <w:numFmt w:val="japaneseCounting"/>
      <w:lvlText w:val="%1、"/>
      <w:lvlJc w:val="left"/>
      <w:pPr>
        <w:ind w:left="720" w:hanging="720"/>
      </w:pPr>
      <w:rPr>
        <w:rFonts w:hint="default" w:ascii="Times New Roman" w:hAnsi="Times New Roman" w:eastAsia="宋体"/>
        <w:u w:val="none" w:color="auto"/>
      </w:rPr>
    </w:lvl>
    <w:lvl w:ilvl="1" w:tentative="0">
      <w:start w:val="1"/>
      <w:numFmt w:val="lowerLetter"/>
      <w:lvlText w:val="%2)"/>
      <w:lvlJc w:val="left"/>
      <w:pPr>
        <w:ind w:left="840" w:hanging="420"/>
      </w:pPr>
      <w:rPr>
        <w:rFonts w:hint="default" w:ascii="Times New Roman" w:hAnsi="Times New Roman" w:eastAsia="宋体"/>
        <w:u w:val="none" w:color="auto"/>
      </w:rPr>
    </w:lvl>
    <w:lvl w:ilvl="2" w:tentative="0">
      <w:start w:val="1"/>
      <w:numFmt w:val="lowerRoman"/>
      <w:lvlText w:val="%3."/>
      <w:lvlJc w:val="right"/>
      <w:pPr>
        <w:ind w:left="1260" w:hanging="420"/>
      </w:pPr>
      <w:rPr>
        <w:rFonts w:hint="default" w:ascii="Times New Roman" w:hAnsi="Times New Roman" w:eastAsia="宋体"/>
        <w:u w:val="none" w:color="auto"/>
      </w:rPr>
    </w:lvl>
    <w:lvl w:ilvl="3" w:tentative="0">
      <w:start w:val="1"/>
      <w:numFmt w:val="decimal"/>
      <w:lvlText w:val="%4."/>
      <w:lvlJc w:val="left"/>
      <w:pPr>
        <w:ind w:left="1680" w:hanging="420"/>
      </w:pPr>
      <w:rPr>
        <w:rFonts w:hint="default" w:ascii="Times New Roman" w:hAnsi="Times New Roman" w:eastAsia="宋体"/>
        <w:u w:val="none" w:color="auto"/>
      </w:rPr>
    </w:lvl>
    <w:lvl w:ilvl="4" w:tentative="0">
      <w:start w:val="1"/>
      <w:numFmt w:val="lowerLetter"/>
      <w:lvlText w:val="%5)"/>
      <w:lvlJc w:val="left"/>
      <w:pPr>
        <w:ind w:left="2100" w:hanging="420"/>
      </w:pPr>
      <w:rPr>
        <w:rFonts w:hint="default" w:ascii="Times New Roman" w:hAnsi="Times New Roman" w:eastAsia="宋体"/>
        <w:u w:val="none" w:color="auto"/>
      </w:rPr>
    </w:lvl>
    <w:lvl w:ilvl="5" w:tentative="0">
      <w:start w:val="1"/>
      <w:numFmt w:val="lowerRoman"/>
      <w:lvlText w:val="%6."/>
      <w:lvlJc w:val="right"/>
      <w:pPr>
        <w:ind w:left="2520" w:hanging="420"/>
      </w:pPr>
      <w:rPr>
        <w:rFonts w:hint="default" w:ascii="Times New Roman" w:hAnsi="Times New Roman" w:eastAsia="宋体"/>
        <w:u w:val="none" w:color="auto"/>
      </w:rPr>
    </w:lvl>
    <w:lvl w:ilvl="6" w:tentative="0">
      <w:start w:val="1"/>
      <w:numFmt w:val="decimal"/>
      <w:lvlText w:val="%7."/>
      <w:lvlJc w:val="left"/>
      <w:pPr>
        <w:ind w:left="2940" w:hanging="420"/>
      </w:pPr>
      <w:rPr>
        <w:rFonts w:hint="default" w:ascii="Times New Roman" w:hAnsi="Times New Roman" w:eastAsia="宋体"/>
        <w:u w:val="none" w:color="auto"/>
      </w:rPr>
    </w:lvl>
    <w:lvl w:ilvl="7" w:tentative="0">
      <w:start w:val="1"/>
      <w:numFmt w:val="lowerLetter"/>
      <w:lvlText w:val="%8)"/>
      <w:lvlJc w:val="left"/>
      <w:pPr>
        <w:ind w:left="3360" w:hanging="420"/>
      </w:pPr>
      <w:rPr>
        <w:rFonts w:hint="default" w:ascii="Times New Roman" w:hAnsi="Times New Roman" w:eastAsia="宋体"/>
        <w:u w:val="none" w:color="auto"/>
      </w:rPr>
    </w:lvl>
    <w:lvl w:ilvl="8" w:tentative="0">
      <w:start w:val="1"/>
      <w:numFmt w:val="lowerRoman"/>
      <w:lvlText w:val="%9."/>
      <w:lvlJc w:val="right"/>
      <w:pPr>
        <w:ind w:left="3780" w:hanging="420"/>
      </w:pPr>
      <w:rPr>
        <w:rFonts w:hint="default" w:ascii="Times New Roman" w:hAnsi="Times New Roman" w:eastAsia="宋体"/>
        <w:u w:val="none" w:color="auto"/>
      </w:rPr>
    </w:lvl>
  </w:abstractNum>
  <w:abstractNum w:abstractNumId="3">
    <w:nsid w:val="577FCE2E"/>
    <w:multiLevelType w:val="singleLevel"/>
    <w:tmpl w:val="577FCE2E"/>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QzZGZiNDAyMjRhNjEyNWIwYWFhZDIyOThhM2VjYTUifQ=="/>
  </w:docVars>
  <w:rsids>
    <w:rsidRoot w:val="00361F25"/>
    <w:rsid w:val="000E1DA1"/>
    <w:rsid w:val="0011267F"/>
    <w:rsid w:val="001352FB"/>
    <w:rsid w:val="00361F25"/>
    <w:rsid w:val="003638A2"/>
    <w:rsid w:val="004606BE"/>
    <w:rsid w:val="004E2F24"/>
    <w:rsid w:val="00582244"/>
    <w:rsid w:val="0065030C"/>
    <w:rsid w:val="00732CB0"/>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76543B"/>
    <w:rsid w:val="01EA1ED6"/>
    <w:rsid w:val="02D82C7D"/>
    <w:rsid w:val="0369605C"/>
    <w:rsid w:val="04665197"/>
    <w:rsid w:val="0551703C"/>
    <w:rsid w:val="057F3BA7"/>
    <w:rsid w:val="06414D33"/>
    <w:rsid w:val="067C1945"/>
    <w:rsid w:val="06FC0676"/>
    <w:rsid w:val="077E5B72"/>
    <w:rsid w:val="08CE49F1"/>
    <w:rsid w:val="09576457"/>
    <w:rsid w:val="0A63430F"/>
    <w:rsid w:val="0FEF51B7"/>
    <w:rsid w:val="0FF9736B"/>
    <w:rsid w:val="108317A3"/>
    <w:rsid w:val="108A10E0"/>
    <w:rsid w:val="11BC3A4F"/>
    <w:rsid w:val="12273709"/>
    <w:rsid w:val="1301013C"/>
    <w:rsid w:val="13C379DC"/>
    <w:rsid w:val="14344379"/>
    <w:rsid w:val="14AA070D"/>
    <w:rsid w:val="16396061"/>
    <w:rsid w:val="17503D41"/>
    <w:rsid w:val="17AF76B4"/>
    <w:rsid w:val="18DB367B"/>
    <w:rsid w:val="19CD038B"/>
    <w:rsid w:val="1A1C3F93"/>
    <w:rsid w:val="1BDA2D26"/>
    <w:rsid w:val="1CD969E7"/>
    <w:rsid w:val="1D620B7D"/>
    <w:rsid w:val="1DA10173"/>
    <w:rsid w:val="1FE52B2C"/>
    <w:rsid w:val="238F248B"/>
    <w:rsid w:val="259738CA"/>
    <w:rsid w:val="25DD571A"/>
    <w:rsid w:val="26E54CBF"/>
    <w:rsid w:val="27526A54"/>
    <w:rsid w:val="27632FB1"/>
    <w:rsid w:val="282C55F1"/>
    <w:rsid w:val="29762804"/>
    <w:rsid w:val="29FC36ED"/>
    <w:rsid w:val="2A12304A"/>
    <w:rsid w:val="2AAA3BC0"/>
    <w:rsid w:val="2EE96EB9"/>
    <w:rsid w:val="2FF1234D"/>
    <w:rsid w:val="311D0C33"/>
    <w:rsid w:val="33BD3B82"/>
    <w:rsid w:val="355F79B5"/>
    <w:rsid w:val="35BA4679"/>
    <w:rsid w:val="364239C5"/>
    <w:rsid w:val="37944D31"/>
    <w:rsid w:val="39441A65"/>
    <w:rsid w:val="3BF25267"/>
    <w:rsid w:val="3DBA7CF4"/>
    <w:rsid w:val="3EED08CC"/>
    <w:rsid w:val="3F464463"/>
    <w:rsid w:val="400612EB"/>
    <w:rsid w:val="409A5AFC"/>
    <w:rsid w:val="4312431B"/>
    <w:rsid w:val="4401336C"/>
    <w:rsid w:val="45DF1435"/>
    <w:rsid w:val="48DE7033"/>
    <w:rsid w:val="491C568E"/>
    <w:rsid w:val="49815C51"/>
    <w:rsid w:val="4A086BC6"/>
    <w:rsid w:val="4DB86816"/>
    <w:rsid w:val="4F2326AA"/>
    <w:rsid w:val="4F365D17"/>
    <w:rsid w:val="50102896"/>
    <w:rsid w:val="501B10E1"/>
    <w:rsid w:val="51546434"/>
    <w:rsid w:val="51EE0D9D"/>
    <w:rsid w:val="54F3587B"/>
    <w:rsid w:val="56652F61"/>
    <w:rsid w:val="596B4A06"/>
    <w:rsid w:val="59722E5D"/>
    <w:rsid w:val="5987401A"/>
    <w:rsid w:val="59E65100"/>
    <w:rsid w:val="5A39709A"/>
    <w:rsid w:val="5E0818C7"/>
    <w:rsid w:val="5E4968BD"/>
    <w:rsid w:val="5EEB792F"/>
    <w:rsid w:val="5FB0234B"/>
    <w:rsid w:val="615841F5"/>
    <w:rsid w:val="639B7E7B"/>
    <w:rsid w:val="646A0B16"/>
    <w:rsid w:val="65C61013"/>
    <w:rsid w:val="6703580B"/>
    <w:rsid w:val="67531D00"/>
    <w:rsid w:val="67C31522"/>
    <w:rsid w:val="68E83FED"/>
    <w:rsid w:val="6DAC2188"/>
    <w:rsid w:val="6EB72C73"/>
    <w:rsid w:val="6EEE099B"/>
    <w:rsid w:val="6FA85AFE"/>
    <w:rsid w:val="74F8263B"/>
    <w:rsid w:val="75F15AA2"/>
    <w:rsid w:val="762E19CE"/>
    <w:rsid w:val="76FC7456"/>
    <w:rsid w:val="79505201"/>
    <w:rsid w:val="79F37E36"/>
    <w:rsid w:val="7A006867"/>
    <w:rsid w:val="7BB23E00"/>
    <w:rsid w:val="7C0666D1"/>
    <w:rsid w:val="7CBB1E9A"/>
    <w:rsid w:val="7CEE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unhideWhenUsed/>
    <w:qFormat/>
    <w:uiPriority w:val="34"/>
    <w:pPr>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3437</Words>
  <Characters>3830</Characters>
  <Lines>29</Lines>
  <Paragraphs>8</Paragraphs>
  <TotalTime>1</TotalTime>
  <ScaleCrop>false</ScaleCrop>
  <LinksUpToDate>false</LinksUpToDate>
  <CharactersWithSpaces>3860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2022-09-05T08:02:29Z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F3DD4DC13CE9457DB028993A126DA1C1</vt:lpwstr>
  </property>
</Properties>
</file>