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jc w:val="center"/>
        <w:rPr>
          <w:rFonts w:hint="eastAsia" w:ascii="仿宋_GB2312" w:eastAsia="仿宋_GB2312"/>
          <w:sz w:val="52"/>
          <w:szCs w:val="24"/>
        </w:rPr>
      </w:pPr>
      <w:r>
        <w:rPr>
          <w:rFonts w:hint="eastAsia" w:ascii="仿宋_GB2312" w:eastAsia="仿宋_GB2312"/>
          <w:sz w:val="52"/>
          <w:szCs w:val="24"/>
        </w:rPr>
        <w:t>目  录</w:t>
      </w:r>
    </w:p>
    <w:p>
      <w:pPr>
        <w:rPr>
          <w:rFonts w:hint="eastAsia" w:ascii="仿宋_GB2312" w:eastAsia="仿宋_GB2312"/>
          <w:sz w:val="32"/>
          <w:szCs w:val="24"/>
        </w:rPr>
      </w:pPr>
    </w:p>
    <w:p>
      <w:pPr>
        <w:pStyle w:val="9"/>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2021年部门决算公开说明</w:t>
      </w:r>
    </w:p>
    <w:p>
      <w:pPr>
        <w:pStyle w:val="9"/>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2021年度收入支出决算公开表</w:t>
      </w:r>
    </w:p>
    <w:p>
      <w:pPr>
        <w:spacing w:line="560" w:lineRule="exact"/>
        <w:jc w:val="left"/>
        <w:rPr>
          <w:rFonts w:hint="eastAsia" w:ascii="仿宋_GB2312" w:eastAsia="仿宋_GB2312"/>
          <w:color w:val="FF0000"/>
          <w:sz w:val="32"/>
          <w:szCs w:val="24"/>
        </w:rPr>
      </w:pPr>
      <w:r>
        <w:rPr>
          <w:rFonts w:hint="eastAsia" w:ascii="仿宋_GB2312" w:eastAsia="仿宋_GB2312"/>
          <w:sz w:val="32"/>
          <w:szCs w:val="24"/>
        </w:rPr>
        <w:t>三、2021年度收入决算公开表</w:t>
      </w:r>
    </w:p>
    <w:p>
      <w:pPr>
        <w:spacing w:line="560" w:lineRule="exact"/>
        <w:rPr>
          <w:rFonts w:hint="eastAsia" w:ascii="仿宋_GB2312" w:eastAsia="仿宋_GB2312"/>
          <w:sz w:val="32"/>
          <w:szCs w:val="24"/>
        </w:rPr>
      </w:pPr>
      <w:r>
        <w:rPr>
          <w:rFonts w:hint="eastAsia" w:ascii="仿宋_GB2312" w:eastAsia="仿宋_GB2312"/>
          <w:sz w:val="32"/>
          <w:szCs w:val="24"/>
        </w:rPr>
        <w:t>四、2021年度支出决算公开表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五、2021年度财政拨款收入支出决算公开表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六、2021年度一般公共预算财政拨款收入支出决算公开表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七、2021年度一般公共预算财政拨款基本支出决算公开表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八、2021年度一般公共预算财政拨款“三公”经费支出决算公开表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九、2021年度政府性基金预算财政拨款收入支出决算公开表</w:t>
      </w: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沅江市退役军人事务系统20</w:t>
      </w:r>
      <w:r>
        <w:rPr>
          <w:rFonts w:hint="eastAsia" w:ascii="黑体" w:eastAsia="黑体"/>
          <w:color w:val="000000"/>
          <w:sz w:val="44"/>
          <w:lang w:val="en-US" w:eastAsia="zh-CN"/>
        </w:rPr>
        <w:t>21</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贯彻执行党和国家关于退役军人思想政治、管理保障和安置优抚等工作政策法规，拟订市退役军人事务发展规划和政策，并组织实施；褒扬彰显退役军人为党、国家和人民牺牲奉献的精神风范和价值导向。</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负责全市军队转业干部、复员干部、离休退休干部、退役军人和无军籍退休退职职工的移交安置工作和自主择业、就业退役军人服务管理工作。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组织指导全市退役军人教育培训工作，协调扶持退役军人和随军家属就业创业。</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组织协调落实全市移交地方的离休退役军人、符合条件的其他退役军人和无军籍退休退职职工的住房保障工作，以及退役军人医疗保障、社会保险等待遇保障工作。</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组织指导全市伤病残退役军人服务管理和抚恤工作，贯彻落实退役军人医疗、疗养、养老等机构的规划政策并指导实施。</w:t>
      </w:r>
    </w:p>
    <w:p>
      <w:pPr>
        <w:spacing w:beforeLines="0" w:afterLines="0" w:line="520" w:lineRule="exact"/>
        <w:ind w:firstLine="640"/>
        <w:rPr>
          <w:rFonts w:hint="eastAsia" w:ascii="仿宋" w:hAnsi="仿宋" w:eastAsia="仿宋"/>
          <w:sz w:val="32"/>
          <w:szCs w:val="24"/>
          <w:lang w:val="en-US" w:eastAsia="zh-CN"/>
        </w:rPr>
      </w:pPr>
      <w:r>
        <w:rPr>
          <w:rFonts w:hint="eastAsia" w:ascii="仿宋" w:hAnsi="仿宋" w:eastAsia="仿宋"/>
          <w:sz w:val="32"/>
          <w:szCs w:val="24"/>
          <w:lang w:val="en-US" w:eastAsia="zh-CN"/>
        </w:rPr>
        <w:t>组织和指导全市拥军优属工作。负责全市烈士及退役军人荣誉奖励、军人公墓管理维护、纪念活动等工作，依法承担英雄烈士保护相关工作。</w:t>
      </w:r>
    </w:p>
    <w:p>
      <w:pPr>
        <w:spacing w:beforeLines="0" w:afterLines="0" w:line="520" w:lineRule="exact"/>
        <w:ind w:firstLine="640" w:firstLineChars="200"/>
        <w:rPr>
          <w:rFonts w:hint="eastAsia" w:ascii="仿宋" w:hAnsi="仿宋" w:eastAsia="仿宋"/>
          <w:sz w:val="32"/>
          <w:szCs w:val="24"/>
          <w:lang w:val="en-US"/>
        </w:rPr>
      </w:pPr>
      <w:r>
        <w:rPr>
          <w:rFonts w:hint="eastAsia" w:ascii="仿宋" w:hAnsi="仿宋" w:eastAsia="仿宋"/>
          <w:sz w:val="32"/>
          <w:szCs w:val="24"/>
          <w:lang w:val="en-US" w:eastAsia="zh-CN"/>
        </w:rPr>
        <w:t>指导并监督检查全市关于退役军人相关法律法规和政策措施的落实；开展全市退役军人权益维护和有关人员的帮扶援助工作。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根据省级民政部门下达的年度接收安置计划，负责军休干部、无军籍职工的安置和接收安置工作。</w:t>
      </w:r>
    </w:p>
    <w:p>
      <w:pPr>
        <w:adjustRightInd w:val="0"/>
        <w:snapToGrid w:val="0"/>
        <w:spacing w:line="480" w:lineRule="exact"/>
        <w:ind w:firstLine="600" w:firstLineChars="200"/>
        <w:rPr>
          <w:rFonts w:hint="eastAsia" w:ascii="仿宋" w:hAnsi="仿宋" w:eastAsia="仿宋"/>
          <w:sz w:val="30"/>
          <w:szCs w:val="24"/>
        </w:rPr>
      </w:pPr>
      <w:r>
        <w:rPr>
          <w:rFonts w:hint="eastAsia" w:ascii="仿宋" w:hAnsi="仿宋" w:eastAsia="仿宋"/>
          <w:sz w:val="30"/>
          <w:szCs w:val="24"/>
        </w:rPr>
        <w:t>全面落实军休干部、无军籍职工政治待遇和生活待遇，为军休干部、无军籍职工老有所养、老有所医、老有所教、老有所学、老有所为、老有所乐创造条件。</w:t>
      </w:r>
    </w:p>
    <w:p>
      <w:pPr>
        <w:spacing w:line="520" w:lineRule="exact"/>
        <w:ind w:firstLine="640"/>
        <w:rPr>
          <w:rFonts w:hint="eastAsia" w:ascii="仿宋" w:hAnsi="仿宋" w:eastAsia="仿宋"/>
          <w:sz w:val="32"/>
          <w:szCs w:val="24"/>
          <w:lang w:val="en-US"/>
        </w:rPr>
      </w:pPr>
      <w:r>
        <w:rPr>
          <w:rFonts w:hint="eastAsia" w:ascii="仿宋" w:hAnsi="仿宋" w:eastAsia="仿宋"/>
          <w:sz w:val="30"/>
          <w:szCs w:val="24"/>
        </w:rPr>
        <w:t>根据工作实际，及时研究解决军休干部服务管理工作中的重要问题，协调有关部门研究解决无军籍职工服务管理重要问题。</w:t>
      </w:r>
    </w:p>
    <w:p>
      <w:pPr>
        <w:spacing w:beforeLines="0" w:afterLines="0" w:line="520" w:lineRule="exact"/>
        <w:ind w:firstLine="640"/>
        <w:rPr>
          <w:rFonts w:hint="eastAsia" w:ascii="仿宋" w:hAnsi="仿宋" w:eastAsia="仿宋"/>
          <w:sz w:val="32"/>
          <w:szCs w:val="24"/>
          <w:lang w:val="en-US"/>
        </w:rPr>
      </w:pPr>
      <w:r>
        <w:rPr>
          <w:rFonts w:hint="eastAsia" w:ascii="仿宋" w:hAnsi="仿宋" w:eastAsia="仿宋"/>
          <w:sz w:val="32"/>
          <w:szCs w:val="24"/>
          <w:lang w:val="en-US" w:eastAsia="zh-CN"/>
        </w:rPr>
        <w:t>负责荣军老人供养、收养工作，实现复员退伍军人老有所依、老有所养；承办上级交付的其他工作任务。</w:t>
      </w:r>
    </w:p>
    <w:p>
      <w:pPr>
        <w:spacing w:beforeLines="0" w:afterLines="0" w:line="520" w:lineRule="exact"/>
        <w:ind w:firstLine="640"/>
        <w:rPr>
          <w:rFonts w:hint="eastAsia" w:ascii="仿宋" w:hAnsi="仿宋" w:eastAsia="仿宋"/>
          <w:sz w:val="32"/>
          <w:szCs w:val="24"/>
          <w:lang w:val="en-US" w:eastAsia="zh-CN"/>
        </w:rPr>
      </w:pP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及所属二级机构决算。</w:t>
      </w:r>
      <w:bookmarkStart w:id="0" w:name="_GoBack"/>
      <w:bookmarkEnd w:id="0"/>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w:t>
      </w:r>
      <w:r>
        <w:rPr>
          <w:rFonts w:hint="eastAsia" w:ascii="黑体" w:hAnsi="黑体" w:eastAsia="黑体" w:cs="黑体"/>
          <w:b w:val="0"/>
          <w:bCs w:val="0"/>
          <w:sz w:val="32"/>
          <w:szCs w:val="32"/>
          <w:lang w:eastAsia="zh-CN"/>
        </w:rPr>
        <w:t>系统</w:t>
      </w:r>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21</w:t>
      </w:r>
      <w:r>
        <w:rPr>
          <w:rFonts w:hint="eastAsia" w:ascii="黑体" w:hAnsi="黑体" w:eastAsia="黑体" w:cs="黑体"/>
          <w:b w:val="0"/>
          <w:bCs w:val="0"/>
          <w:sz w:val="32"/>
          <w:szCs w:val="32"/>
        </w:rPr>
        <w:t>年度部门决算情况说明</w:t>
      </w:r>
    </w:p>
    <w:p>
      <w:pPr>
        <w:ind w:firstLine="640"/>
        <w:jc w:val="left"/>
        <w:rPr>
          <w:rFonts w:ascii="黑体" w:hAnsi="黑体" w:eastAsia="黑体" w:cs="黑体"/>
          <w:sz w:val="32"/>
        </w:rPr>
      </w:pPr>
      <w:r>
        <w:rPr>
          <w:rFonts w:ascii="黑体" w:hAnsi="黑体" w:eastAsia="黑体" w:cs="黑体"/>
          <w:sz w:val="32"/>
        </w:rPr>
        <w:t>一、收入支出决算总体情况说明</w:t>
      </w:r>
    </w:p>
    <w:p>
      <w:pPr>
        <w:spacing w:beforeLines="0" w:afterLines="0" w:line="520" w:lineRule="exact"/>
        <w:ind w:firstLine="640"/>
        <w:rPr>
          <w:rFonts w:hint="default" w:ascii="仿宋" w:hAnsi="仿宋" w:eastAsia="仿宋" w:cs="仿宋"/>
          <w:sz w:val="32"/>
          <w:lang w:val="en-US"/>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年度收入总计</w:t>
      </w:r>
      <w:r>
        <w:rPr>
          <w:rFonts w:hint="eastAsia" w:ascii="仿宋" w:hAnsi="仿宋" w:eastAsia="仿宋" w:cs="仿宋"/>
          <w:sz w:val="32"/>
          <w:lang w:val="en-US" w:eastAsia="zh-CN"/>
        </w:rPr>
        <w:t>2020.48</w:t>
      </w:r>
      <w:r>
        <w:rPr>
          <w:rFonts w:ascii="仿宋" w:hAnsi="仿宋" w:eastAsia="仿宋" w:cs="仿宋"/>
          <w:sz w:val="32"/>
        </w:rPr>
        <w:t>万元，比上年同期增加</w:t>
      </w:r>
      <w:r>
        <w:rPr>
          <w:rFonts w:hint="eastAsia" w:ascii="仿宋" w:hAnsi="仿宋" w:eastAsia="仿宋" w:cs="仿宋"/>
          <w:sz w:val="32"/>
          <w:lang w:val="en-US" w:eastAsia="zh-CN"/>
        </w:rPr>
        <w:t>691.22</w:t>
      </w:r>
      <w:r>
        <w:rPr>
          <w:rFonts w:ascii="仿宋" w:hAnsi="仿宋" w:eastAsia="仿宋" w:cs="仿宋"/>
          <w:sz w:val="32"/>
        </w:rPr>
        <w:t>万元，增长</w:t>
      </w:r>
      <w:r>
        <w:rPr>
          <w:rFonts w:hint="eastAsia" w:ascii="仿宋" w:hAnsi="仿宋" w:eastAsia="仿宋" w:cs="仿宋"/>
          <w:sz w:val="32"/>
          <w:lang w:val="en-US" w:eastAsia="zh-CN"/>
        </w:rPr>
        <w:t>52</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2021年项目增加，财政拨款增加。</w:t>
      </w:r>
      <w:r>
        <w:rPr>
          <w:rFonts w:ascii="仿宋" w:hAnsi="仿宋" w:eastAsia="仿宋" w:cs="仿宋"/>
          <w:sz w:val="32"/>
        </w:rPr>
        <w:t>支出总计</w:t>
      </w:r>
      <w:r>
        <w:rPr>
          <w:rFonts w:hint="eastAsia" w:ascii="仿宋" w:hAnsi="仿宋" w:eastAsia="仿宋" w:cs="仿宋"/>
          <w:sz w:val="32"/>
          <w:lang w:val="en-US" w:eastAsia="zh-CN"/>
        </w:rPr>
        <w:t>2535.34</w:t>
      </w:r>
      <w:r>
        <w:rPr>
          <w:rFonts w:ascii="仿宋" w:hAnsi="仿宋" w:eastAsia="仿宋" w:cs="仿宋"/>
          <w:sz w:val="32"/>
        </w:rPr>
        <w:t>万元，比上年同期增加</w:t>
      </w:r>
      <w:r>
        <w:rPr>
          <w:rFonts w:hint="eastAsia" w:ascii="仿宋" w:hAnsi="仿宋" w:eastAsia="仿宋" w:cs="仿宋"/>
          <w:sz w:val="32"/>
          <w:lang w:val="en-US" w:eastAsia="zh-CN"/>
        </w:rPr>
        <w:t>1220.37</w:t>
      </w:r>
      <w:r>
        <w:rPr>
          <w:rFonts w:ascii="仿宋" w:hAnsi="仿宋" w:eastAsia="仿宋" w:cs="仿宋"/>
          <w:sz w:val="32"/>
        </w:rPr>
        <w:t>万元，增长</w:t>
      </w:r>
      <w:r>
        <w:rPr>
          <w:rFonts w:hint="eastAsia" w:ascii="仿宋" w:hAnsi="仿宋" w:eastAsia="仿宋" w:cs="仿宋"/>
          <w:sz w:val="32"/>
          <w:lang w:val="en-US" w:eastAsia="zh-CN"/>
        </w:rPr>
        <w:t>92.81</w:t>
      </w:r>
      <w:r>
        <w:rPr>
          <w:rFonts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主要原因：</w:t>
      </w:r>
      <w:r>
        <w:rPr>
          <w:rFonts w:hint="eastAsia" w:ascii="仿宋" w:hAnsi="仿宋" w:eastAsia="仿宋"/>
          <w:sz w:val="32"/>
          <w:szCs w:val="24"/>
          <w:lang w:val="en-US" w:eastAsia="zh-CN"/>
        </w:rPr>
        <w:t>2021年项目增加，支出增加。年初财政拨款结转和结余514.86万元。</w:t>
      </w:r>
    </w:p>
    <w:p>
      <w:pPr>
        <w:ind w:left="720"/>
        <w:jc w:val="left"/>
        <w:rPr>
          <w:rFonts w:ascii="黑体" w:hAnsi="黑体" w:eastAsia="黑体" w:cs="黑体"/>
          <w:sz w:val="32"/>
        </w:rPr>
      </w:pPr>
      <w:r>
        <w:rPr>
          <w:rFonts w:ascii="黑体" w:hAnsi="黑体" w:eastAsia="黑体" w:cs="黑体"/>
          <w:sz w:val="32"/>
        </w:rPr>
        <w:t>二、收入决算情况说明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年度收入合计</w:t>
      </w:r>
      <w:r>
        <w:rPr>
          <w:rFonts w:hint="eastAsia" w:ascii="仿宋" w:hAnsi="仿宋" w:eastAsia="仿宋" w:cs="仿宋"/>
          <w:sz w:val="32"/>
          <w:lang w:val="en-US" w:eastAsia="zh-CN"/>
        </w:rPr>
        <w:t>2020.48</w:t>
      </w:r>
      <w:r>
        <w:rPr>
          <w:rFonts w:ascii="仿宋" w:hAnsi="仿宋" w:eastAsia="仿宋" w:cs="仿宋"/>
          <w:sz w:val="32"/>
        </w:rPr>
        <w:t>万元，其中：财政拨款收入</w:t>
      </w:r>
      <w:r>
        <w:rPr>
          <w:rFonts w:hint="eastAsia" w:ascii="仿宋" w:hAnsi="仿宋" w:eastAsia="仿宋" w:cs="仿宋"/>
          <w:sz w:val="32"/>
          <w:lang w:val="en-US" w:eastAsia="zh-CN"/>
        </w:rPr>
        <w:t>1753.5</w:t>
      </w:r>
      <w:r>
        <w:rPr>
          <w:rFonts w:ascii="仿宋" w:hAnsi="仿宋" w:eastAsia="仿宋" w:cs="仿宋"/>
          <w:sz w:val="32"/>
        </w:rPr>
        <w:t>万元，占</w:t>
      </w:r>
      <w:r>
        <w:rPr>
          <w:rFonts w:hint="eastAsia" w:ascii="仿宋" w:hAnsi="仿宋" w:eastAsia="仿宋" w:cs="仿宋"/>
          <w:sz w:val="32"/>
          <w:lang w:val="en-US" w:eastAsia="zh-CN"/>
        </w:rPr>
        <w:t>86.79</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266.98</w:t>
      </w:r>
      <w:r>
        <w:rPr>
          <w:rFonts w:ascii="仿宋" w:hAnsi="仿宋" w:eastAsia="仿宋" w:cs="仿宋"/>
          <w:sz w:val="32"/>
        </w:rPr>
        <w:t>万元，占</w:t>
      </w:r>
      <w:r>
        <w:rPr>
          <w:rFonts w:hint="eastAsia" w:ascii="仿宋" w:hAnsi="仿宋" w:eastAsia="仿宋" w:cs="仿宋"/>
          <w:sz w:val="32"/>
          <w:lang w:val="en-US" w:eastAsia="zh-CN"/>
        </w:rPr>
        <w:t>13.21</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年度支出合计</w:t>
      </w:r>
      <w:r>
        <w:rPr>
          <w:rFonts w:hint="eastAsia" w:ascii="仿宋" w:hAnsi="仿宋" w:eastAsia="仿宋" w:cs="仿宋"/>
          <w:sz w:val="32"/>
          <w:lang w:val="en-US" w:eastAsia="zh-CN"/>
        </w:rPr>
        <w:t>2535.34</w:t>
      </w:r>
      <w:r>
        <w:rPr>
          <w:rFonts w:ascii="仿宋" w:hAnsi="仿宋" w:eastAsia="仿宋" w:cs="仿宋"/>
          <w:sz w:val="32"/>
        </w:rPr>
        <w:t>万元，其中：基本支出</w:t>
      </w:r>
      <w:r>
        <w:rPr>
          <w:rFonts w:hint="eastAsia" w:ascii="仿宋" w:hAnsi="仿宋" w:eastAsia="仿宋" w:cs="仿宋"/>
          <w:sz w:val="32"/>
          <w:lang w:val="en-US" w:eastAsia="zh-CN"/>
        </w:rPr>
        <w:t>673.28</w:t>
      </w:r>
      <w:r>
        <w:rPr>
          <w:rFonts w:ascii="仿宋" w:hAnsi="仿宋" w:eastAsia="仿宋" w:cs="仿宋"/>
          <w:sz w:val="32"/>
        </w:rPr>
        <w:t>万元，占</w:t>
      </w:r>
      <w:r>
        <w:rPr>
          <w:rFonts w:hint="eastAsia" w:ascii="仿宋" w:hAnsi="仿宋" w:eastAsia="仿宋" w:cs="仿宋"/>
          <w:sz w:val="32"/>
          <w:lang w:val="en-US" w:eastAsia="zh-CN"/>
        </w:rPr>
        <w:t>26.56</w:t>
      </w:r>
      <w:r>
        <w:rPr>
          <w:rFonts w:ascii="仿宋" w:hAnsi="仿宋" w:eastAsia="仿宋" w:cs="仿宋"/>
          <w:sz w:val="32"/>
        </w:rPr>
        <w:t>%；项目支出</w:t>
      </w:r>
      <w:r>
        <w:rPr>
          <w:rFonts w:hint="eastAsia" w:ascii="仿宋" w:hAnsi="仿宋" w:eastAsia="仿宋" w:cs="仿宋"/>
          <w:sz w:val="32"/>
          <w:lang w:val="en-US" w:eastAsia="zh-CN"/>
        </w:rPr>
        <w:t>1862.06</w:t>
      </w:r>
      <w:r>
        <w:rPr>
          <w:rFonts w:ascii="仿宋" w:hAnsi="仿宋" w:eastAsia="仿宋" w:cs="仿宋"/>
          <w:sz w:val="32"/>
        </w:rPr>
        <w:t>万元，占</w:t>
      </w:r>
      <w:r>
        <w:rPr>
          <w:rFonts w:hint="eastAsia" w:ascii="仿宋" w:hAnsi="仿宋" w:eastAsia="仿宋" w:cs="仿宋"/>
          <w:sz w:val="32"/>
          <w:lang w:val="en-US" w:eastAsia="zh-CN"/>
        </w:rPr>
        <w:t>73.44</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spacing w:beforeLines="0" w:afterLines="0" w:line="520" w:lineRule="exact"/>
        <w:ind w:firstLine="640"/>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年度财政拨款收入总计</w:t>
      </w:r>
      <w:r>
        <w:rPr>
          <w:rFonts w:hint="eastAsia" w:ascii="仿宋" w:hAnsi="仿宋" w:eastAsia="仿宋" w:cs="仿宋"/>
          <w:sz w:val="32"/>
          <w:lang w:val="en-US" w:eastAsia="zh-CN"/>
        </w:rPr>
        <w:t>1753.5</w:t>
      </w:r>
      <w:r>
        <w:rPr>
          <w:rFonts w:ascii="仿宋" w:hAnsi="仿宋" w:eastAsia="仿宋" w:cs="仿宋"/>
          <w:sz w:val="32"/>
        </w:rPr>
        <w:t>万元，比上年同期增加</w:t>
      </w:r>
      <w:r>
        <w:rPr>
          <w:rFonts w:hint="eastAsia" w:ascii="仿宋" w:hAnsi="仿宋" w:eastAsia="仿宋" w:cs="仿宋"/>
          <w:sz w:val="32"/>
          <w:lang w:val="en-US" w:eastAsia="zh-CN"/>
        </w:rPr>
        <w:t>528.81</w:t>
      </w:r>
      <w:r>
        <w:rPr>
          <w:rFonts w:ascii="仿宋" w:hAnsi="仿宋" w:eastAsia="仿宋" w:cs="仿宋"/>
          <w:sz w:val="32"/>
        </w:rPr>
        <w:t>万元，增长</w:t>
      </w:r>
      <w:r>
        <w:rPr>
          <w:rFonts w:hint="eastAsia" w:ascii="仿宋" w:hAnsi="仿宋" w:eastAsia="仿宋" w:cs="仿宋"/>
          <w:sz w:val="32"/>
          <w:lang w:val="en-US" w:eastAsia="zh-CN"/>
        </w:rPr>
        <w:t>43.18</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2268.36</w:t>
      </w:r>
      <w:r>
        <w:rPr>
          <w:rFonts w:ascii="仿宋" w:hAnsi="仿宋" w:eastAsia="仿宋" w:cs="仿宋"/>
          <w:sz w:val="32"/>
        </w:rPr>
        <w:t>万元，比上年同期增加</w:t>
      </w:r>
      <w:r>
        <w:rPr>
          <w:rFonts w:hint="eastAsia" w:ascii="仿宋" w:hAnsi="仿宋" w:eastAsia="仿宋" w:cs="仿宋"/>
          <w:sz w:val="32"/>
          <w:lang w:val="en-US" w:eastAsia="zh-CN"/>
        </w:rPr>
        <w:t>1071.58</w:t>
      </w:r>
      <w:r>
        <w:rPr>
          <w:rFonts w:ascii="仿宋" w:hAnsi="仿宋" w:eastAsia="仿宋" w:cs="仿宋"/>
          <w:sz w:val="32"/>
        </w:rPr>
        <w:t>万元，增长</w:t>
      </w:r>
      <w:r>
        <w:rPr>
          <w:rFonts w:hint="eastAsia" w:ascii="仿宋" w:hAnsi="仿宋" w:eastAsia="仿宋" w:cs="仿宋"/>
          <w:sz w:val="32"/>
          <w:lang w:val="en-US" w:eastAsia="zh-CN"/>
        </w:rPr>
        <w:t>89.54</w:t>
      </w:r>
      <w:r>
        <w:rPr>
          <w:rFonts w:ascii="仿宋" w:hAnsi="仿宋" w:eastAsia="仿宋" w:cs="仿宋"/>
          <w:sz w:val="32"/>
        </w:rPr>
        <w:t>%。主要原因：</w:t>
      </w:r>
      <w:r>
        <w:rPr>
          <w:rFonts w:hint="eastAsia" w:ascii="仿宋" w:hAnsi="仿宋" w:eastAsia="仿宋"/>
          <w:sz w:val="32"/>
          <w:szCs w:val="24"/>
          <w:lang w:val="en-US" w:eastAsia="zh-CN"/>
        </w:rPr>
        <w:t>2021年项目增加，财政拨款增加，支出增加。</w:t>
      </w:r>
    </w:p>
    <w:p>
      <w:pPr>
        <w:ind w:firstLine="640" w:firstLineChars="20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spacing w:beforeLines="0" w:afterLines="0" w:line="520" w:lineRule="exact"/>
        <w:ind w:firstLine="640"/>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年度一般公共预算财政拨款收入总计</w:t>
      </w:r>
      <w:r>
        <w:rPr>
          <w:rFonts w:hint="eastAsia" w:ascii="仿宋" w:hAnsi="仿宋" w:eastAsia="仿宋" w:cs="仿宋"/>
          <w:sz w:val="32"/>
          <w:lang w:val="en-US" w:eastAsia="zh-CN"/>
        </w:rPr>
        <w:t>1753.5</w:t>
      </w:r>
      <w:r>
        <w:rPr>
          <w:rFonts w:ascii="仿宋" w:hAnsi="仿宋" w:eastAsia="仿宋" w:cs="仿宋"/>
          <w:sz w:val="32"/>
        </w:rPr>
        <w:t>万元，比上年同期增加</w:t>
      </w:r>
      <w:r>
        <w:rPr>
          <w:rFonts w:hint="eastAsia" w:ascii="仿宋" w:hAnsi="仿宋" w:eastAsia="仿宋" w:cs="仿宋"/>
          <w:sz w:val="32"/>
          <w:lang w:val="en-US" w:eastAsia="zh-CN"/>
        </w:rPr>
        <w:t>528.81</w:t>
      </w:r>
      <w:r>
        <w:rPr>
          <w:rFonts w:ascii="仿宋" w:hAnsi="仿宋" w:eastAsia="仿宋" w:cs="仿宋"/>
          <w:sz w:val="32"/>
        </w:rPr>
        <w:t>万元，增长</w:t>
      </w:r>
      <w:r>
        <w:rPr>
          <w:rFonts w:hint="eastAsia" w:ascii="仿宋" w:hAnsi="仿宋" w:eastAsia="仿宋" w:cs="仿宋"/>
          <w:sz w:val="32"/>
          <w:lang w:val="en-US" w:eastAsia="zh-CN"/>
        </w:rPr>
        <w:t>43.18</w:t>
      </w:r>
      <w:r>
        <w:rPr>
          <w:rFonts w:ascii="仿宋" w:hAnsi="仿宋" w:eastAsia="仿宋" w:cs="仿宋"/>
          <w:sz w:val="32"/>
        </w:rPr>
        <w:t>%；一般公共预算财政拨款支出总计</w:t>
      </w:r>
      <w:r>
        <w:rPr>
          <w:rFonts w:hint="eastAsia" w:ascii="仿宋" w:hAnsi="仿宋" w:eastAsia="仿宋" w:cs="仿宋"/>
          <w:sz w:val="32"/>
          <w:lang w:val="en-US" w:eastAsia="zh-CN"/>
        </w:rPr>
        <w:t>2268.36</w:t>
      </w:r>
      <w:r>
        <w:rPr>
          <w:rFonts w:ascii="仿宋" w:hAnsi="仿宋" w:eastAsia="仿宋" w:cs="仿宋"/>
          <w:sz w:val="32"/>
        </w:rPr>
        <w:t>万元，比上年同期增加</w:t>
      </w:r>
      <w:r>
        <w:rPr>
          <w:rFonts w:hint="eastAsia" w:ascii="仿宋" w:hAnsi="仿宋" w:eastAsia="仿宋" w:cs="仿宋"/>
          <w:sz w:val="32"/>
          <w:lang w:val="en-US" w:eastAsia="zh-CN"/>
        </w:rPr>
        <w:t>1071.58</w:t>
      </w:r>
      <w:r>
        <w:rPr>
          <w:rFonts w:ascii="仿宋" w:hAnsi="仿宋" w:eastAsia="仿宋" w:cs="仿宋"/>
          <w:sz w:val="32"/>
        </w:rPr>
        <w:t>万元，增长</w:t>
      </w:r>
      <w:r>
        <w:rPr>
          <w:rFonts w:hint="eastAsia" w:ascii="仿宋" w:hAnsi="仿宋" w:eastAsia="仿宋" w:cs="仿宋"/>
          <w:sz w:val="32"/>
          <w:lang w:val="en-US" w:eastAsia="zh-CN"/>
        </w:rPr>
        <w:t>89.54</w:t>
      </w:r>
      <w:r>
        <w:rPr>
          <w:rFonts w:ascii="仿宋" w:hAnsi="仿宋" w:eastAsia="仿宋" w:cs="仿宋"/>
          <w:sz w:val="32"/>
        </w:rPr>
        <w:t>%。主要原因：</w:t>
      </w:r>
      <w:r>
        <w:rPr>
          <w:rFonts w:hint="eastAsia" w:ascii="仿宋" w:hAnsi="仿宋" w:eastAsia="仿宋"/>
          <w:sz w:val="32"/>
          <w:szCs w:val="24"/>
          <w:lang w:val="en-US" w:eastAsia="zh-CN"/>
        </w:rPr>
        <w:t>2021年项目增加，财政拨款增加，支出增加。</w:t>
      </w:r>
    </w:p>
    <w:p>
      <w:pPr>
        <w:numPr>
          <w:ilvl w:val="0"/>
          <w:numId w:val="2"/>
        </w:numPr>
        <w:ind w:firstLine="320"/>
        <w:jc w:val="left"/>
        <w:rPr>
          <w:rFonts w:ascii="楷体" w:hAnsi="楷体" w:eastAsia="楷体" w:cs="楷体"/>
          <w:sz w:val="32"/>
        </w:rPr>
      </w:pPr>
      <w:r>
        <w:rPr>
          <w:rFonts w:ascii="楷体" w:hAnsi="楷体" w:eastAsia="楷体" w:cs="楷体"/>
          <w:sz w:val="32"/>
        </w:rPr>
        <w:t>一般公共预算财政拨款支出决算构成情况。</w:t>
      </w:r>
    </w:p>
    <w:p>
      <w:pPr>
        <w:numPr>
          <w:numId w:val="0"/>
        </w:numPr>
        <w:ind w:firstLine="640" w:firstLineChars="200"/>
        <w:jc w:val="left"/>
        <w:rPr>
          <w:rFonts w:hint="default" w:ascii="仿宋" w:hAnsi="仿宋" w:eastAsia="仿宋" w:cs="仿宋"/>
          <w:sz w:val="32"/>
          <w:lang w:val="en-US" w:eastAsia="zh-CN"/>
        </w:rPr>
      </w:pPr>
      <w:r>
        <w:rPr>
          <w:rFonts w:hint="eastAsia" w:ascii="仿宋" w:hAnsi="Times New Roman" w:eastAsia="仿宋"/>
          <w:color w:val="000000"/>
          <w:kern w:val="0"/>
          <w:sz w:val="32"/>
        </w:rPr>
        <w:t>一般公共预算拨款支出</w:t>
      </w:r>
      <w:r>
        <w:rPr>
          <w:rFonts w:hint="eastAsia" w:ascii="仿宋" w:hAnsi="仿宋" w:eastAsia="仿宋" w:cs="仿宋"/>
          <w:sz w:val="32"/>
          <w:lang w:val="en-US" w:eastAsia="zh-CN"/>
        </w:rPr>
        <w:t>2268.36</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2231.9</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98.39</w:t>
      </w:r>
      <w:r>
        <w:rPr>
          <w:rFonts w:hint="eastAsia" w:ascii="仿宋" w:hAnsi="Times New Roman" w:eastAsia="仿宋"/>
          <w:color w:val="000000"/>
          <w:sz w:val="32"/>
        </w:rPr>
        <w:t>%。</w:t>
      </w:r>
      <w:r>
        <w:rPr>
          <w:rFonts w:hint="eastAsia" w:ascii="仿宋" w:hAnsi="Times New Roman" w:eastAsia="仿宋"/>
          <w:color w:val="000000"/>
          <w:kern w:val="0"/>
          <w:sz w:val="32"/>
          <w:lang w:eastAsia="zh-CN"/>
        </w:rPr>
        <w:t>其中</w:t>
      </w:r>
      <w:r>
        <w:rPr>
          <w:rFonts w:hint="eastAsia" w:ascii="仿宋" w:hAnsi="Times New Roman" w:eastAsia="仿宋"/>
          <w:color w:val="000000"/>
          <w:sz w:val="32"/>
          <w:lang w:eastAsia="zh-CN"/>
        </w:rPr>
        <w:t>住房保障</w:t>
      </w:r>
      <w:r>
        <w:rPr>
          <w:rFonts w:hint="eastAsia" w:ascii="仿宋" w:hAnsi="Times New Roman" w:eastAsia="仿宋"/>
          <w:color w:val="000000"/>
          <w:sz w:val="32"/>
        </w:rPr>
        <w:t>支出</w:t>
      </w:r>
      <w:r>
        <w:rPr>
          <w:rFonts w:hint="eastAsia" w:ascii="仿宋" w:hAnsi="Times New Roman" w:eastAsia="仿宋"/>
          <w:color w:val="000000"/>
          <w:sz w:val="32"/>
          <w:lang w:val="en-US" w:eastAsia="zh-CN"/>
        </w:rPr>
        <w:t>18.36</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0.81</w:t>
      </w:r>
      <w:r>
        <w:rPr>
          <w:rFonts w:hint="eastAsia" w:ascii="仿宋" w:hAnsi="Times New Roman" w:eastAsia="仿宋"/>
          <w:color w:val="000000"/>
          <w:sz w:val="32"/>
        </w:rPr>
        <w:t>%</w:t>
      </w:r>
      <w:r>
        <w:rPr>
          <w:rFonts w:hint="eastAsia" w:ascii="仿宋" w:hAnsi="Times New Roman" w:eastAsia="仿宋"/>
          <w:color w:val="000000"/>
          <w:sz w:val="32"/>
          <w:lang w:eastAsia="zh-CN"/>
        </w:rPr>
        <w:t>，一般公共服务支出</w:t>
      </w:r>
      <w:r>
        <w:rPr>
          <w:rFonts w:hint="eastAsia" w:ascii="仿宋" w:hAnsi="Times New Roman" w:eastAsia="仿宋"/>
          <w:color w:val="000000"/>
          <w:sz w:val="32"/>
          <w:lang w:val="en-US" w:eastAsia="zh-CN"/>
        </w:rPr>
        <w:t>10万元，占0.44%。卫生健康支出8.09万元，占0.36%。</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spacing w:beforeLines="0" w:afterLines="0" w:line="520" w:lineRule="exact"/>
        <w:ind w:firstLine="640"/>
        <w:rPr>
          <w:rFonts w:hint="default" w:ascii="仿宋" w:hAnsi="仿宋" w:eastAsia="仿宋" w:cs="仿宋"/>
          <w:sz w:val="32"/>
          <w:lang w:val="en-US" w:eastAsia="zh-CN"/>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21</w:t>
      </w:r>
      <w:r>
        <w:rPr>
          <w:rFonts w:hint="eastAsia" w:ascii="仿宋" w:hAnsi="Times New Roman" w:eastAsia="仿宋"/>
          <w:color w:val="000000"/>
          <w:sz w:val="32"/>
        </w:rPr>
        <w:t>年度财政拨款支出决算为</w:t>
      </w:r>
      <w:r>
        <w:rPr>
          <w:rFonts w:hint="eastAsia" w:ascii="仿宋" w:hAnsi="仿宋" w:eastAsia="仿宋" w:cs="仿宋"/>
          <w:sz w:val="32"/>
          <w:lang w:val="en-US" w:eastAsia="zh-CN"/>
        </w:rPr>
        <w:t>2268.36</w:t>
      </w:r>
      <w:r>
        <w:rPr>
          <w:rFonts w:hint="eastAsia" w:ascii="仿宋" w:hAnsi="Times New Roman" w:eastAsia="仿宋"/>
          <w:color w:val="000000"/>
          <w:sz w:val="32"/>
        </w:rPr>
        <w:t>万元，</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382.74</w:t>
      </w:r>
      <w:r>
        <w:rPr>
          <w:rFonts w:hint="eastAsia" w:ascii="仿宋" w:hAnsi="Times New Roman" w:eastAsia="仿宋"/>
          <w:color w:val="000000"/>
          <w:kern w:val="0"/>
          <w:sz w:val="32"/>
        </w:rPr>
        <w:t>万元，比上年增加</w:t>
      </w:r>
      <w:r>
        <w:rPr>
          <w:rFonts w:hint="eastAsia" w:ascii="仿宋" w:hAnsi="Times New Roman" w:eastAsia="仿宋"/>
          <w:color w:val="000000"/>
          <w:kern w:val="0"/>
          <w:sz w:val="32"/>
          <w:lang w:val="en-US" w:eastAsia="zh-CN"/>
        </w:rPr>
        <w:t>11.24</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295.36</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133.76</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eastAsia="zh-CN"/>
        </w:rPr>
        <w:t>（基本建设）</w:t>
      </w:r>
      <w:r>
        <w:rPr>
          <w:rFonts w:hint="eastAsia" w:ascii="仿宋" w:hAnsi="Times New Roman" w:eastAsia="仿宋"/>
          <w:color w:val="000000"/>
          <w:kern w:val="0"/>
          <w:sz w:val="32"/>
          <w:lang w:val="en-US" w:eastAsia="zh-CN"/>
        </w:rPr>
        <w:t>335.79万元，</w:t>
      </w:r>
      <w:r>
        <w:rPr>
          <w:rFonts w:hint="eastAsia" w:ascii="仿宋" w:hAnsi="Times New Roman" w:eastAsia="仿宋"/>
          <w:color w:val="000000"/>
          <w:kern w:val="0"/>
          <w:sz w:val="32"/>
        </w:rPr>
        <w:t>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24.64</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88.97</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32.04</w:t>
      </w:r>
      <w:r>
        <w:rPr>
          <w:rFonts w:hint="eastAsia" w:ascii="仿宋" w:hAnsi="Times New Roman" w:eastAsia="仿宋"/>
          <w:color w:val="000000"/>
          <w:kern w:val="0"/>
          <w:sz w:val="32"/>
        </w:rPr>
        <w:t>%。对个人和家庭的补助</w:t>
      </w:r>
      <w:r>
        <w:rPr>
          <w:rFonts w:hint="eastAsia" w:ascii="仿宋" w:hAnsi="Times New Roman" w:eastAsia="仿宋"/>
          <w:color w:val="000000"/>
          <w:kern w:val="0"/>
          <w:sz w:val="32"/>
          <w:lang w:val="en-US" w:eastAsia="zh-CN"/>
        </w:rPr>
        <w:t>1165.5</w:t>
      </w:r>
      <w:r>
        <w:rPr>
          <w:rFonts w:hint="eastAsia" w:ascii="仿宋" w:hAnsi="Times New Roman" w:eastAsia="仿宋"/>
          <w:color w:val="000000"/>
          <w:kern w:val="0"/>
          <w:sz w:val="32"/>
        </w:rPr>
        <w:t>万元，比上年增</w:t>
      </w:r>
      <w:r>
        <w:rPr>
          <w:rFonts w:hint="eastAsia" w:ascii="仿宋" w:hAnsi="Times New Roman" w:eastAsia="仿宋"/>
          <w:color w:val="000000"/>
          <w:kern w:val="0"/>
          <w:sz w:val="32"/>
          <w:lang w:val="en-US" w:eastAsia="zh-CN"/>
        </w:rPr>
        <w:t>199.16</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仿宋" w:eastAsia="仿宋"/>
          <w:sz w:val="32"/>
          <w:szCs w:val="24"/>
          <w:lang w:val="en-US" w:eastAsia="zh-CN"/>
        </w:rPr>
        <w:t>2021年工作项目增加，支出增加，军休所在建军休活动中心，所以</w:t>
      </w:r>
      <w:r>
        <w:rPr>
          <w:rFonts w:hint="eastAsia" w:ascii="仿宋" w:hAnsi="Times New Roman" w:eastAsia="仿宋"/>
          <w:color w:val="000000"/>
          <w:kern w:val="0"/>
          <w:sz w:val="32"/>
        </w:rPr>
        <w:t>资本性</w:t>
      </w:r>
      <w:r>
        <w:rPr>
          <w:rFonts w:hint="eastAsia" w:ascii="仿宋" w:hAnsi="仿宋" w:eastAsia="仿宋"/>
          <w:sz w:val="32"/>
          <w:szCs w:val="24"/>
          <w:lang w:val="en-US" w:eastAsia="zh-CN"/>
        </w:rPr>
        <w:t>支出增加。</w:t>
      </w:r>
    </w:p>
    <w:p>
      <w:pPr>
        <w:ind w:firstLine="320" w:firstLineChars="10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年度一般公共预算财政拨款基本支出</w:t>
      </w:r>
      <w:r>
        <w:rPr>
          <w:rFonts w:hint="eastAsia" w:ascii="仿宋" w:hAnsi="仿宋" w:eastAsia="仿宋" w:cs="仿宋"/>
          <w:sz w:val="32"/>
          <w:lang w:val="en-US" w:eastAsia="zh-CN"/>
        </w:rPr>
        <w:t>673.28</w:t>
      </w:r>
      <w:r>
        <w:rPr>
          <w:rFonts w:ascii="仿宋" w:hAnsi="仿宋" w:eastAsia="仿宋" w:cs="仿宋"/>
          <w:sz w:val="32"/>
        </w:rPr>
        <w:t>万元，其中人员经费支出</w:t>
      </w:r>
      <w:r>
        <w:rPr>
          <w:rFonts w:hint="eastAsia" w:ascii="仿宋" w:hAnsi="仿宋" w:eastAsia="仿宋" w:cs="仿宋"/>
          <w:sz w:val="32"/>
          <w:lang w:val="en-US" w:eastAsia="zh-CN"/>
        </w:rPr>
        <w:t>563.64</w:t>
      </w:r>
      <w:r>
        <w:rPr>
          <w:rFonts w:ascii="仿宋" w:hAnsi="仿宋" w:eastAsia="仿宋" w:cs="仿宋"/>
          <w:sz w:val="32"/>
        </w:rPr>
        <w:t>万元，主要包括：</w:t>
      </w:r>
      <w:r>
        <w:rPr>
          <w:rFonts w:ascii="仿宋" w:hAnsi="仿宋" w:eastAsia="仿宋" w:cs="仿宋"/>
          <w:i w:val="0"/>
          <w:iCs w:val="0"/>
          <w:caps w:val="0"/>
          <w:color w:val="000000"/>
          <w:spacing w:val="0"/>
          <w:sz w:val="32"/>
          <w:szCs w:val="32"/>
          <w:shd w:val="clear" w:fill="FFFFFF"/>
        </w:rPr>
        <w:t>基本工资、津贴补贴、奖金、伙食补助费、其他对个人和家庭的补助、养老金、住房公积金、基本医疗保险等；</w:t>
      </w:r>
      <w:r>
        <w:rPr>
          <w:rFonts w:ascii="仿宋" w:hAnsi="仿宋" w:eastAsia="仿宋" w:cs="仿宋"/>
          <w:sz w:val="32"/>
        </w:rPr>
        <w:t>公用经费支出</w:t>
      </w:r>
      <w:r>
        <w:rPr>
          <w:rFonts w:hint="eastAsia" w:ascii="仿宋" w:hAnsi="仿宋" w:eastAsia="仿宋" w:cs="仿宋"/>
          <w:sz w:val="32"/>
          <w:lang w:val="en-US" w:eastAsia="zh-CN"/>
        </w:rPr>
        <w:t>109.64</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年度“三公”经费财政拨款支出预算为</w:t>
      </w:r>
      <w:r>
        <w:rPr>
          <w:rFonts w:hint="eastAsia" w:ascii="仿宋" w:hAnsi="仿宋" w:eastAsia="仿宋" w:cs="仿宋"/>
          <w:sz w:val="32"/>
          <w:lang w:val="en-US" w:eastAsia="zh-CN"/>
        </w:rPr>
        <w:t>11</w:t>
      </w:r>
      <w:r>
        <w:rPr>
          <w:rFonts w:ascii="仿宋" w:hAnsi="仿宋" w:eastAsia="仿宋" w:cs="仿宋"/>
          <w:sz w:val="32"/>
        </w:rPr>
        <w:t>万元，支出决算为</w:t>
      </w:r>
      <w:r>
        <w:rPr>
          <w:rFonts w:hint="eastAsia" w:ascii="仿宋" w:hAnsi="仿宋" w:eastAsia="仿宋" w:cs="仿宋"/>
          <w:sz w:val="32"/>
          <w:lang w:val="en-US" w:eastAsia="zh-CN"/>
        </w:rPr>
        <w:t>9.77</w:t>
      </w:r>
      <w:r>
        <w:rPr>
          <w:rFonts w:ascii="仿宋" w:hAnsi="仿宋" w:eastAsia="仿宋" w:cs="仿宋"/>
          <w:sz w:val="32"/>
        </w:rPr>
        <w:t>万元，其中：公务接待费支出决算为</w:t>
      </w:r>
      <w:r>
        <w:rPr>
          <w:rFonts w:hint="eastAsia" w:ascii="仿宋" w:hAnsi="仿宋" w:eastAsia="仿宋" w:cs="仿宋"/>
          <w:sz w:val="32"/>
          <w:lang w:val="en-US" w:eastAsia="zh-CN"/>
        </w:rPr>
        <w:t>6.25</w:t>
      </w:r>
      <w:r>
        <w:rPr>
          <w:rFonts w:ascii="仿宋" w:hAnsi="仿宋" w:eastAsia="仿宋" w:cs="仿宋"/>
          <w:sz w:val="32"/>
        </w:rPr>
        <w:t>万元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3.51万元，公务用车购置费0万元。</w:t>
      </w: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年度“三公”经费支出决算数</w:t>
      </w:r>
      <w:r>
        <w:rPr>
          <w:rFonts w:hint="eastAsia" w:ascii="仿宋" w:hAnsi="仿宋" w:eastAsia="仿宋" w:cs="仿宋"/>
          <w:sz w:val="32"/>
          <w:lang w:eastAsia="zh-CN"/>
        </w:rPr>
        <w:t>小</w:t>
      </w:r>
      <w:r>
        <w:rPr>
          <w:rFonts w:ascii="仿宋" w:hAnsi="仿宋" w:eastAsia="仿宋" w:cs="仿宋"/>
          <w:sz w:val="32"/>
        </w:rPr>
        <w:t>于预算数的主要原因：</w:t>
      </w:r>
      <w:r>
        <w:rPr>
          <w:rFonts w:hint="eastAsia" w:ascii="仿宋" w:hAnsi="仿宋" w:eastAsia="仿宋" w:cs="仿宋"/>
          <w:sz w:val="32"/>
          <w:lang w:eastAsia="zh-CN"/>
        </w:rPr>
        <w:t>响应八项规定，严格控制三公经费开支</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default" w:ascii="仿宋" w:hAnsi="仿宋" w:eastAsia="仿宋" w:cs="仿宋"/>
          <w:sz w:val="32"/>
          <w:lang w:val="en-US" w:eastAsia="zh-CN"/>
        </w:rPr>
      </w:pPr>
      <w:r>
        <w:rPr>
          <w:rFonts w:ascii="楷体" w:hAnsi="楷体" w:eastAsia="楷体" w:cs="楷体"/>
          <w:sz w:val="32"/>
        </w:rPr>
        <w:t xml:space="preserve"> </w:t>
      </w:r>
      <w:r>
        <w:rPr>
          <w:rFonts w:ascii="仿宋" w:hAnsi="仿宋" w:eastAsia="仿宋" w:cs="仿宋"/>
          <w:sz w:val="32"/>
        </w:rPr>
        <w:t>20</w:t>
      </w:r>
      <w:r>
        <w:rPr>
          <w:rFonts w:hint="eastAsia" w:ascii="仿宋" w:hAnsi="仿宋" w:eastAsia="仿宋" w:cs="仿宋"/>
          <w:sz w:val="32"/>
          <w:lang w:val="en-US" w:eastAsia="zh-CN"/>
        </w:rPr>
        <w:t>21</w:t>
      </w:r>
      <w:r>
        <w:rPr>
          <w:rFonts w:ascii="仿宋" w:hAnsi="仿宋" w:eastAsia="仿宋" w:cs="仿宋"/>
          <w:sz w:val="32"/>
        </w:rPr>
        <w:t>年度“三公”经费财政拨款支出决算为</w:t>
      </w:r>
      <w:r>
        <w:rPr>
          <w:rFonts w:hint="eastAsia" w:ascii="仿宋" w:hAnsi="仿宋" w:eastAsia="仿宋" w:cs="仿宋"/>
          <w:sz w:val="32"/>
          <w:lang w:val="en-US" w:eastAsia="zh-CN"/>
        </w:rPr>
        <w:t>9.77</w:t>
      </w:r>
      <w:r>
        <w:rPr>
          <w:rFonts w:ascii="仿宋" w:hAnsi="仿宋" w:eastAsia="仿宋" w:cs="仿宋"/>
          <w:sz w:val="32"/>
        </w:rPr>
        <w:t>万元，其中：公务接待费支出决算为</w:t>
      </w:r>
      <w:r>
        <w:rPr>
          <w:rFonts w:hint="eastAsia" w:ascii="仿宋" w:hAnsi="仿宋" w:eastAsia="仿宋" w:cs="仿宋"/>
          <w:sz w:val="32"/>
          <w:lang w:val="en-US" w:eastAsia="zh-CN"/>
        </w:rPr>
        <w:t>6.25</w:t>
      </w:r>
      <w:r>
        <w:rPr>
          <w:rFonts w:ascii="仿宋" w:hAnsi="仿宋" w:eastAsia="仿宋" w:cs="仿宋"/>
          <w:sz w:val="32"/>
        </w:rPr>
        <w:t>万元，占</w:t>
      </w:r>
      <w:r>
        <w:rPr>
          <w:rFonts w:hint="eastAsia" w:ascii="仿宋" w:hAnsi="仿宋" w:eastAsia="仿宋" w:cs="仿宋"/>
          <w:sz w:val="32"/>
          <w:lang w:val="en-US" w:eastAsia="zh-CN"/>
        </w:rPr>
        <w:t>63.97</w:t>
      </w:r>
      <w:r>
        <w:rPr>
          <w:rFonts w:ascii="仿宋" w:hAnsi="仿宋" w:eastAsia="仿宋" w:cs="仿宋"/>
          <w:sz w:val="32"/>
        </w:rPr>
        <w:t>%。</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3.51万元</w:t>
      </w:r>
      <w:r>
        <w:rPr>
          <w:rFonts w:ascii="仿宋" w:hAnsi="仿宋" w:eastAsia="仿宋" w:cs="仿宋"/>
          <w:sz w:val="32"/>
        </w:rPr>
        <w:t>，占</w:t>
      </w:r>
      <w:r>
        <w:rPr>
          <w:rFonts w:hint="eastAsia" w:ascii="仿宋" w:hAnsi="仿宋" w:eastAsia="仿宋" w:cs="仿宋"/>
          <w:sz w:val="32"/>
          <w:lang w:val="en-US" w:eastAsia="zh-CN"/>
        </w:rPr>
        <w:t>36.03</w:t>
      </w:r>
      <w:r>
        <w:rPr>
          <w:rFonts w:ascii="仿宋" w:hAnsi="仿宋" w:eastAsia="仿宋" w:cs="仿宋"/>
          <w:sz w:val="32"/>
        </w:rPr>
        <w:t>%。</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2辆。</w:t>
      </w:r>
    </w:p>
    <w:p>
      <w:pPr>
        <w:numPr>
          <w:ilvl w:val="0"/>
          <w:numId w:val="3"/>
        </w:numPr>
        <w:ind w:firstLine="640"/>
        <w:jc w:val="left"/>
        <w:rPr>
          <w:rFonts w:hint="eastAsia" w:ascii="黑体" w:hAnsi="黑体" w:eastAsia="黑体" w:cs="黑体"/>
          <w:sz w:val="32"/>
        </w:rPr>
      </w:pPr>
      <w:r>
        <w:rPr>
          <w:rFonts w:hint="eastAsia" w:ascii="黑体" w:hAnsi="黑体" w:eastAsia="黑体" w:cs="黑体"/>
          <w:sz w:val="32"/>
        </w:rPr>
        <w:t>关于 20</w:t>
      </w:r>
      <w:r>
        <w:rPr>
          <w:rFonts w:hint="eastAsia" w:ascii="黑体" w:hAnsi="黑体" w:eastAsia="黑体" w:cs="黑体"/>
          <w:sz w:val="32"/>
          <w:lang w:val="en-US" w:eastAsia="zh-CN"/>
        </w:rPr>
        <w:t>21</w:t>
      </w:r>
      <w:r>
        <w:rPr>
          <w:rFonts w:hint="eastAsia" w:ascii="黑体" w:hAnsi="黑体" w:eastAsia="黑体" w:cs="黑体"/>
          <w:sz w:val="32"/>
        </w:rPr>
        <w:t>年度预算绩效情况说明</w:t>
      </w:r>
    </w:p>
    <w:p>
      <w:pPr>
        <w:numPr>
          <w:ilvl w:val="0"/>
          <w:numId w:val="4"/>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4"/>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w:t>
      </w:r>
      <w:r>
        <w:rPr>
          <w:rFonts w:hint="eastAsia" w:ascii="仿宋" w:hAnsi="Times New Roman" w:eastAsia="仿宋"/>
          <w:color w:val="000000"/>
          <w:kern w:val="0"/>
          <w:sz w:val="32"/>
          <w:lang w:val="en-US" w:eastAsia="zh-CN"/>
        </w:rPr>
        <w:t>21</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21</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1862.06</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59.71</w:t>
      </w:r>
      <w:r>
        <w:rPr>
          <w:rFonts w:ascii="仿宋" w:hAnsi="仿宋" w:eastAsia="仿宋" w:cs="仿宋"/>
          <w:sz w:val="32"/>
        </w:rPr>
        <w:t>万元，较上年增加</w:t>
      </w:r>
      <w:r>
        <w:rPr>
          <w:rFonts w:hint="eastAsia" w:ascii="仿宋" w:hAnsi="仿宋" w:eastAsia="仿宋" w:cs="仿宋"/>
          <w:sz w:val="32"/>
          <w:lang w:val="en-US" w:eastAsia="zh-CN"/>
        </w:rPr>
        <w:t>10.34</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20.94</w:t>
      </w:r>
      <w:r>
        <w:rPr>
          <w:rFonts w:ascii="仿宋" w:hAnsi="仿宋" w:eastAsia="仿宋" w:cs="仿宋"/>
          <w:sz w:val="32"/>
        </w:rPr>
        <w:t>%，</w:t>
      </w:r>
      <w:r>
        <w:rPr>
          <w:rFonts w:hint="eastAsia" w:ascii="仿宋" w:hAnsi="仿宋" w:eastAsia="仿宋"/>
          <w:sz w:val="32"/>
          <w:szCs w:val="24"/>
          <w:lang w:val="en-US"/>
        </w:rPr>
        <w:t>增减变化的主要原因是：</w:t>
      </w:r>
      <w:r>
        <w:rPr>
          <w:rFonts w:ascii="仿宋" w:hAnsi="仿宋" w:eastAsia="仿宋" w:cs="仿宋"/>
          <w:i w:val="0"/>
          <w:iCs w:val="0"/>
          <w:caps w:val="0"/>
          <w:color w:val="333333"/>
          <w:spacing w:val="0"/>
          <w:sz w:val="32"/>
          <w:szCs w:val="32"/>
          <w:shd w:val="clear" w:fill="FFFFFF"/>
        </w:rPr>
        <w:t>工作</w:t>
      </w:r>
      <w:r>
        <w:rPr>
          <w:rFonts w:hint="eastAsia" w:ascii="仿宋" w:hAnsi="仿宋" w:eastAsia="仿宋" w:cs="仿宋"/>
          <w:i w:val="0"/>
          <w:iCs w:val="0"/>
          <w:caps w:val="0"/>
          <w:color w:val="333333"/>
          <w:spacing w:val="0"/>
          <w:sz w:val="32"/>
          <w:szCs w:val="32"/>
          <w:shd w:val="clear" w:fill="FFFFFF"/>
          <w:lang w:val="en-US" w:eastAsia="zh-CN"/>
        </w:rPr>
        <w:t>项目</w:t>
      </w:r>
      <w:r>
        <w:rPr>
          <w:rFonts w:ascii="仿宋" w:hAnsi="仿宋" w:eastAsia="仿宋" w:cs="仿宋"/>
          <w:i w:val="0"/>
          <w:iCs w:val="0"/>
          <w:caps w:val="0"/>
          <w:color w:val="333333"/>
          <w:spacing w:val="0"/>
          <w:sz w:val="32"/>
          <w:szCs w:val="32"/>
          <w:shd w:val="clear" w:fill="FFFFFF"/>
        </w:rPr>
        <w:t>增加、工作任务加重导致业务开支增大。</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eastAsia" w:ascii="仿宋" w:hAnsi="仿宋" w:eastAsia="仿宋" w:cs="仿宋"/>
          <w:sz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年度政府采购</w:t>
      </w:r>
      <w:r>
        <w:rPr>
          <w:rFonts w:hint="eastAsia" w:ascii="仿宋" w:hAnsi="仿宋" w:eastAsia="仿宋" w:cs="仿宋"/>
          <w:sz w:val="32"/>
          <w:szCs w:val="24"/>
        </w:rPr>
        <w:t>422.14</w:t>
      </w:r>
      <w:r>
        <w:rPr>
          <w:rFonts w:ascii="仿宋" w:hAnsi="仿宋" w:eastAsia="仿宋" w:cs="仿宋"/>
          <w:sz w:val="32"/>
        </w:rPr>
        <w:t>万元，其中，政府采购货物支出</w:t>
      </w:r>
      <w:r>
        <w:rPr>
          <w:rFonts w:hint="eastAsia" w:ascii="仿宋" w:hAnsi="仿宋" w:eastAsia="仿宋" w:cs="仿宋"/>
          <w:sz w:val="32"/>
          <w:szCs w:val="24"/>
        </w:rPr>
        <w:t>86.35</w:t>
      </w:r>
      <w:r>
        <w:rPr>
          <w:rFonts w:ascii="仿宋" w:hAnsi="仿宋" w:eastAsia="仿宋" w:cs="仿宋"/>
          <w:sz w:val="32"/>
        </w:rPr>
        <w:t>万元</w:t>
      </w:r>
      <w:r>
        <w:rPr>
          <w:rFonts w:hint="eastAsia" w:ascii="仿宋" w:hAnsi="仿宋" w:eastAsia="仿宋" w:cs="仿宋"/>
          <w:sz w:val="32"/>
          <w:lang w:val="en-US" w:eastAsia="zh-CN"/>
        </w:rPr>
        <w:t>,</w:t>
      </w:r>
      <w:r>
        <w:rPr>
          <w:rFonts w:ascii="仿宋" w:hAnsi="仿宋" w:eastAsia="仿宋" w:cs="仿宋"/>
          <w:sz w:val="32"/>
        </w:rPr>
        <w:t>政府采购</w:t>
      </w:r>
      <w:r>
        <w:rPr>
          <w:rFonts w:hint="eastAsia" w:ascii="仿宋" w:hAnsi="仿宋" w:eastAsia="仿宋" w:cs="仿宋"/>
          <w:sz w:val="32"/>
          <w:lang w:eastAsia="zh-CN"/>
        </w:rPr>
        <w:t>工程</w:t>
      </w:r>
      <w:r>
        <w:rPr>
          <w:rFonts w:ascii="仿宋" w:hAnsi="仿宋" w:eastAsia="仿宋" w:cs="仿宋"/>
          <w:sz w:val="32"/>
        </w:rPr>
        <w:t>支出</w:t>
      </w:r>
      <w:r>
        <w:rPr>
          <w:rFonts w:hint="eastAsia" w:ascii="仿宋" w:hAnsi="仿宋" w:eastAsia="仿宋" w:cs="仿宋"/>
          <w:sz w:val="32"/>
          <w:szCs w:val="24"/>
        </w:rPr>
        <w:t>335.79</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p>
    <w:p>
      <w:pPr>
        <w:keepNext/>
        <w:keepLines/>
        <w:autoSpaceDE w:val="0"/>
        <w:autoSpaceDN w:val="0"/>
        <w:adjustRightInd w:val="0"/>
        <w:spacing w:beforeLines="0" w:afterLines="0"/>
        <w:ind w:firstLine="640"/>
        <w:rPr>
          <w:rFonts w:hint="eastAsia" w:ascii="黑体" w:hAnsi="黑体" w:eastAsia="黑体" w:cs="黑体"/>
          <w:b w:val="0"/>
          <w:bCs w:val="0"/>
          <w:sz w:val="32"/>
          <w:szCs w:val="32"/>
        </w:rPr>
      </w:pPr>
      <w:r>
        <w:rPr>
          <w:rFonts w:hint="eastAsia" w:ascii="仿宋" w:hAnsi="Times New Roman" w:eastAsia="仿宋"/>
          <w:color w:val="000000"/>
          <w:sz w:val="32"/>
        </w:rPr>
        <w:t>本单位年末</w:t>
      </w:r>
      <w:r>
        <w:rPr>
          <w:rFonts w:hint="eastAsia" w:ascii="仿宋" w:hAnsi="Times New Roman" w:eastAsia="仿宋"/>
          <w:color w:val="000000"/>
          <w:sz w:val="32"/>
          <w:lang w:eastAsia="zh-CN"/>
        </w:rPr>
        <w:t>有</w:t>
      </w:r>
      <w:r>
        <w:rPr>
          <w:rFonts w:hint="eastAsia" w:ascii="仿宋" w:hAnsi="Times New Roman" w:eastAsia="仿宋"/>
          <w:color w:val="000000"/>
          <w:sz w:val="32"/>
          <w:lang w:val="en-US" w:eastAsia="zh-CN"/>
        </w:rPr>
        <w:t>2辆公务</w:t>
      </w:r>
      <w:r>
        <w:rPr>
          <w:rFonts w:hint="eastAsia" w:ascii="仿宋" w:hAnsi="Times New Roman" w:eastAsia="仿宋"/>
          <w:color w:val="000000"/>
          <w:sz w:val="32"/>
        </w:rPr>
        <w:t>车辆。年末无单价50万元以上通用设备。年末无单价100万元以上通用设备。</w:t>
      </w: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autoSpaceDE w:val="0"/>
        <w:autoSpaceDN w:val="0"/>
        <w:adjustRightInd w:val="0"/>
        <w:spacing w:beforeLines="0" w:afterLines="0"/>
        <w:ind w:firstLine="640"/>
        <w:rPr>
          <w:rFonts w:hint="default" w:ascii="仿宋" w:hAnsi="Times New Roman" w:eastAsia="仿宋"/>
          <w:sz w:val="32"/>
        </w:rPr>
      </w:pPr>
      <w:r>
        <w:rPr>
          <w:rFonts w:hint="eastAsia" w:ascii="黑体" w:hAnsi="Times New Roman" w:eastAsia="黑体"/>
          <w:sz w:val="32"/>
        </w:rPr>
        <w:t>第五部分 附件</w:t>
      </w:r>
    </w:p>
    <w:p>
      <w:pPr>
        <w:keepNext/>
        <w:keepLines/>
        <w:autoSpaceDE w:val="0"/>
        <w:autoSpaceDN w:val="0"/>
        <w:adjustRightInd w:val="0"/>
        <w:spacing w:beforeLines="0" w:afterLines="0"/>
        <w:ind w:firstLine="640"/>
        <w:rPr>
          <w:rFonts w:hint="default" w:ascii="Times New Roman" w:hAnsi="Times New Roman" w:eastAsia="仿宋"/>
          <w:b/>
          <w:sz w:val="32"/>
          <w:lang w:val="zh-CN"/>
        </w:rPr>
      </w:pPr>
      <w:r>
        <w:rPr>
          <w:rFonts w:hint="eastAsia" w:ascii="仿宋" w:hAnsi="Times New Roman" w:eastAsia="仿宋"/>
          <w:sz w:val="32"/>
        </w:rPr>
        <w:t>附件：20</w:t>
      </w:r>
      <w:r>
        <w:rPr>
          <w:rFonts w:hint="eastAsia" w:ascii="仿宋" w:hAnsi="Times New Roman" w:eastAsia="仿宋"/>
          <w:sz w:val="32"/>
          <w:lang w:val="en-US" w:eastAsia="zh-CN"/>
        </w:rPr>
        <w:t>21</w:t>
      </w:r>
      <w:r>
        <w:rPr>
          <w:rFonts w:hint="eastAsia" w:ascii="仿宋" w:hAnsi="Times New Roman" w:eastAsia="仿宋"/>
          <w:sz w:val="32"/>
        </w:rPr>
        <w:t>年度沅江市</w:t>
      </w:r>
      <w:r>
        <w:rPr>
          <w:rFonts w:hint="eastAsia" w:ascii="仿宋" w:hAnsi="Times New Roman" w:eastAsia="仿宋"/>
          <w:sz w:val="32"/>
          <w:lang w:eastAsia="zh-CN"/>
        </w:rPr>
        <w:t>退役军人事务系统</w:t>
      </w:r>
      <w:r>
        <w:rPr>
          <w:rFonts w:hint="eastAsia" w:ascii="仿宋" w:hAnsi="Times New Roman" w:eastAsia="仿宋"/>
          <w:sz w:val="32"/>
        </w:rPr>
        <w:t>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CA8F"/>
    <w:multiLevelType w:val="singleLevel"/>
    <w:tmpl w:val="F2CCCA8F"/>
    <w:lvl w:ilvl="0" w:tentative="0">
      <w:start w:val="9"/>
      <w:numFmt w:val="chineseCounting"/>
      <w:suff w:val="nothing"/>
      <w:lvlText w:val="%1、"/>
      <w:lvlJc w:val="left"/>
      <w:rPr>
        <w:rFonts w:hint="eastAsia"/>
      </w:rPr>
    </w:lvl>
  </w:abstractNum>
  <w:abstractNum w:abstractNumId="1">
    <w:nsid w:val="F3702ECC"/>
    <w:multiLevelType w:val="singleLevel"/>
    <w:tmpl w:val="F3702ECC"/>
    <w:lvl w:ilvl="0" w:tentative="0">
      <w:start w:val="1"/>
      <w:numFmt w:val="chineseCounting"/>
      <w:suff w:val="nothing"/>
      <w:lvlText w:val="（%1）"/>
      <w:lvlJc w:val="left"/>
      <w:rPr>
        <w:rFonts w:hint="eastAsia"/>
      </w:rPr>
    </w:lvl>
  </w:abstractNum>
  <w:abstractNum w:abstractNumId="2">
    <w:nsid w:val="539BA352"/>
    <w:multiLevelType w:val="singleLevel"/>
    <w:tmpl w:val="539BA352"/>
    <w:lvl w:ilvl="0" w:tentative="0">
      <w:start w:val="2"/>
      <w:numFmt w:val="chineseCounting"/>
      <w:suff w:val="nothing"/>
      <w:lvlText w:val="（%1）"/>
      <w:lvlJc w:val="left"/>
      <w:rPr>
        <w:rFonts w:hint="eastAsia"/>
      </w:rPr>
    </w:lvl>
  </w:abstractNum>
  <w:abstractNum w:abstractNumId="3">
    <w:nsid w:val="549B7EE0"/>
    <w:multiLevelType w:val="multilevel"/>
    <w:tmpl w:val="549B7EE0"/>
    <w:lvl w:ilvl="0" w:tentative="0">
      <w:start w:val="1"/>
      <w:numFmt w:val="japaneseCounting"/>
      <w:lvlText w:val="%1、"/>
      <w:lvlJc w:val="left"/>
      <w:pPr>
        <w:ind w:left="720" w:hanging="720"/>
      </w:pPr>
      <w:rPr>
        <w:rFonts w:hint="default" w:ascii="Times New Roman" w:hAnsi="Times New Roman" w:eastAsia="宋体"/>
        <w:u w:val="none" w:color="auto"/>
      </w:rPr>
    </w:lvl>
    <w:lvl w:ilvl="1" w:tentative="0">
      <w:start w:val="1"/>
      <w:numFmt w:val="lowerLetter"/>
      <w:lvlText w:val="%2)"/>
      <w:lvlJc w:val="left"/>
      <w:pPr>
        <w:ind w:left="840" w:hanging="420"/>
      </w:pPr>
      <w:rPr>
        <w:rFonts w:hint="default" w:ascii="Times New Roman" w:hAnsi="Times New Roman" w:eastAsia="宋体"/>
        <w:u w:val="none" w:color="auto"/>
      </w:rPr>
    </w:lvl>
    <w:lvl w:ilvl="2" w:tentative="0">
      <w:start w:val="1"/>
      <w:numFmt w:val="lowerRoman"/>
      <w:lvlText w:val="%3."/>
      <w:lvlJc w:val="right"/>
      <w:pPr>
        <w:ind w:left="1260" w:hanging="420"/>
      </w:pPr>
      <w:rPr>
        <w:rFonts w:hint="default" w:ascii="Times New Roman" w:hAnsi="Times New Roman" w:eastAsia="宋体"/>
        <w:u w:val="none" w:color="auto"/>
      </w:rPr>
    </w:lvl>
    <w:lvl w:ilvl="3" w:tentative="0">
      <w:start w:val="1"/>
      <w:numFmt w:val="decimal"/>
      <w:lvlText w:val="%4."/>
      <w:lvlJc w:val="left"/>
      <w:pPr>
        <w:ind w:left="1680" w:hanging="420"/>
      </w:pPr>
      <w:rPr>
        <w:rFonts w:hint="default" w:ascii="Times New Roman" w:hAnsi="Times New Roman" w:eastAsia="宋体"/>
        <w:u w:val="none" w:color="auto"/>
      </w:rPr>
    </w:lvl>
    <w:lvl w:ilvl="4" w:tentative="0">
      <w:start w:val="1"/>
      <w:numFmt w:val="lowerLetter"/>
      <w:lvlText w:val="%5)"/>
      <w:lvlJc w:val="left"/>
      <w:pPr>
        <w:ind w:left="2100" w:hanging="420"/>
      </w:pPr>
      <w:rPr>
        <w:rFonts w:hint="default" w:ascii="Times New Roman" w:hAnsi="Times New Roman" w:eastAsia="宋体"/>
        <w:u w:val="none" w:color="auto"/>
      </w:rPr>
    </w:lvl>
    <w:lvl w:ilvl="5" w:tentative="0">
      <w:start w:val="1"/>
      <w:numFmt w:val="lowerRoman"/>
      <w:lvlText w:val="%6."/>
      <w:lvlJc w:val="right"/>
      <w:pPr>
        <w:ind w:left="2520" w:hanging="420"/>
      </w:pPr>
      <w:rPr>
        <w:rFonts w:hint="default" w:ascii="Times New Roman" w:hAnsi="Times New Roman" w:eastAsia="宋体"/>
        <w:u w:val="none" w:color="auto"/>
      </w:rPr>
    </w:lvl>
    <w:lvl w:ilvl="6" w:tentative="0">
      <w:start w:val="1"/>
      <w:numFmt w:val="decimal"/>
      <w:lvlText w:val="%7."/>
      <w:lvlJc w:val="left"/>
      <w:pPr>
        <w:ind w:left="2940" w:hanging="420"/>
      </w:pPr>
      <w:rPr>
        <w:rFonts w:hint="default" w:ascii="Times New Roman" w:hAnsi="Times New Roman" w:eastAsia="宋体"/>
        <w:u w:val="none" w:color="auto"/>
      </w:rPr>
    </w:lvl>
    <w:lvl w:ilvl="7" w:tentative="0">
      <w:start w:val="1"/>
      <w:numFmt w:val="lowerLetter"/>
      <w:lvlText w:val="%8)"/>
      <w:lvlJc w:val="left"/>
      <w:pPr>
        <w:ind w:left="3360" w:hanging="420"/>
      </w:pPr>
      <w:rPr>
        <w:rFonts w:hint="default" w:ascii="Times New Roman" w:hAnsi="Times New Roman" w:eastAsia="宋体"/>
        <w:u w:val="none" w:color="auto"/>
      </w:rPr>
    </w:lvl>
    <w:lvl w:ilvl="8" w:tentative="0">
      <w:start w:val="1"/>
      <w:numFmt w:val="lowerRoman"/>
      <w:lvlText w:val="%9."/>
      <w:lvlJc w:val="right"/>
      <w:pPr>
        <w:ind w:left="3780" w:hanging="420"/>
      </w:pPr>
      <w:rPr>
        <w:rFonts w:hint="default" w:ascii="Times New Roman" w:hAnsi="Times New Roman" w:eastAsia="宋体"/>
        <w:u w:val="none" w:color="auto"/>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zQzZGZiNDAyMjRhNjEyNWIwYWFhZDIyOThhM2VjYTUifQ=="/>
  </w:docVars>
  <w:rsids>
    <w:rsidRoot w:val="00361F25"/>
    <w:rsid w:val="000E1DA1"/>
    <w:rsid w:val="0011267F"/>
    <w:rsid w:val="001352FB"/>
    <w:rsid w:val="00361F25"/>
    <w:rsid w:val="003638A2"/>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690DC1"/>
    <w:rsid w:val="0176543B"/>
    <w:rsid w:val="01D645D7"/>
    <w:rsid w:val="01EA1ED6"/>
    <w:rsid w:val="021403D4"/>
    <w:rsid w:val="029B0093"/>
    <w:rsid w:val="02D82C7D"/>
    <w:rsid w:val="02E828A9"/>
    <w:rsid w:val="0369605C"/>
    <w:rsid w:val="0458175B"/>
    <w:rsid w:val="06AB1108"/>
    <w:rsid w:val="075368E4"/>
    <w:rsid w:val="08CE49F1"/>
    <w:rsid w:val="0A63430F"/>
    <w:rsid w:val="0AAB5A8B"/>
    <w:rsid w:val="0ED6529E"/>
    <w:rsid w:val="0FEF51B7"/>
    <w:rsid w:val="108317A3"/>
    <w:rsid w:val="108A10E0"/>
    <w:rsid w:val="11C108F4"/>
    <w:rsid w:val="12273709"/>
    <w:rsid w:val="13C379DC"/>
    <w:rsid w:val="13E9604C"/>
    <w:rsid w:val="14344379"/>
    <w:rsid w:val="143D563E"/>
    <w:rsid w:val="16396061"/>
    <w:rsid w:val="17503D41"/>
    <w:rsid w:val="18DB367B"/>
    <w:rsid w:val="1A1C3F93"/>
    <w:rsid w:val="1A525A64"/>
    <w:rsid w:val="1AC90ABA"/>
    <w:rsid w:val="1B474B10"/>
    <w:rsid w:val="1BD43CE4"/>
    <w:rsid w:val="1C770086"/>
    <w:rsid w:val="1D620B7D"/>
    <w:rsid w:val="1DA10173"/>
    <w:rsid w:val="20745983"/>
    <w:rsid w:val="207D3AD8"/>
    <w:rsid w:val="21B94151"/>
    <w:rsid w:val="23053E3F"/>
    <w:rsid w:val="238F248B"/>
    <w:rsid w:val="24BF5743"/>
    <w:rsid w:val="25C77D95"/>
    <w:rsid w:val="26E54CBF"/>
    <w:rsid w:val="29762804"/>
    <w:rsid w:val="2DAB2892"/>
    <w:rsid w:val="2E3B4B54"/>
    <w:rsid w:val="340942EF"/>
    <w:rsid w:val="348B2F6C"/>
    <w:rsid w:val="355F79B5"/>
    <w:rsid w:val="364239C5"/>
    <w:rsid w:val="369E4678"/>
    <w:rsid w:val="37875BC1"/>
    <w:rsid w:val="37944D31"/>
    <w:rsid w:val="39441A65"/>
    <w:rsid w:val="3AF463B4"/>
    <w:rsid w:val="3B14151B"/>
    <w:rsid w:val="3B5671A4"/>
    <w:rsid w:val="3C8C4C17"/>
    <w:rsid w:val="3EED08CC"/>
    <w:rsid w:val="3F676329"/>
    <w:rsid w:val="3FD517D1"/>
    <w:rsid w:val="400612EB"/>
    <w:rsid w:val="409A5AFC"/>
    <w:rsid w:val="4401336C"/>
    <w:rsid w:val="45DF1435"/>
    <w:rsid w:val="46F8083D"/>
    <w:rsid w:val="47185991"/>
    <w:rsid w:val="48DE7033"/>
    <w:rsid w:val="48DE7057"/>
    <w:rsid w:val="491C568E"/>
    <w:rsid w:val="492C32B4"/>
    <w:rsid w:val="49B13D78"/>
    <w:rsid w:val="4B6E49D9"/>
    <w:rsid w:val="4B6E690E"/>
    <w:rsid w:val="4CA42921"/>
    <w:rsid w:val="4F3B6779"/>
    <w:rsid w:val="4F921709"/>
    <w:rsid w:val="501B10E1"/>
    <w:rsid w:val="50F14B11"/>
    <w:rsid w:val="511307A2"/>
    <w:rsid w:val="5164271E"/>
    <w:rsid w:val="52A27363"/>
    <w:rsid w:val="56652F61"/>
    <w:rsid w:val="573914A1"/>
    <w:rsid w:val="575847F8"/>
    <w:rsid w:val="58F4383A"/>
    <w:rsid w:val="59251A18"/>
    <w:rsid w:val="59607BF7"/>
    <w:rsid w:val="59722E5D"/>
    <w:rsid w:val="5987401A"/>
    <w:rsid w:val="5E4B5571"/>
    <w:rsid w:val="5EDF565F"/>
    <w:rsid w:val="633044AB"/>
    <w:rsid w:val="639B7E7B"/>
    <w:rsid w:val="63A14FCF"/>
    <w:rsid w:val="65496E13"/>
    <w:rsid w:val="65E846CF"/>
    <w:rsid w:val="67531D00"/>
    <w:rsid w:val="67C31522"/>
    <w:rsid w:val="69411457"/>
    <w:rsid w:val="6EB72C73"/>
    <w:rsid w:val="6EEE099B"/>
    <w:rsid w:val="6F385CFA"/>
    <w:rsid w:val="6F6B3B74"/>
    <w:rsid w:val="72F469FC"/>
    <w:rsid w:val="74092D12"/>
    <w:rsid w:val="77053316"/>
    <w:rsid w:val="771A61AA"/>
    <w:rsid w:val="78FA74C2"/>
    <w:rsid w:val="794E1915"/>
    <w:rsid w:val="7A387DEA"/>
    <w:rsid w:val="7B317FB2"/>
    <w:rsid w:val="7C0666D1"/>
    <w:rsid w:val="7D166F3F"/>
    <w:rsid w:val="7D995A3D"/>
    <w:rsid w:val="7DB1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unhideWhenUsed/>
    <w:qFormat/>
    <w:uiPriority w:val="34"/>
    <w:pPr>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3684</Words>
  <Characters>4090</Characters>
  <Lines>29</Lines>
  <Paragraphs>8</Paragraphs>
  <TotalTime>0</TotalTime>
  <ScaleCrop>false</ScaleCrop>
  <LinksUpToDate>false</LinksUpToDate>
  <CharactersWithSpaces>4116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2022-09-05T08:03:40Z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1BECD7032A1941FCA5EAC9ECD0407844</vt:lpwstr>
  </property>
</Properties>
</file>