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jc w:val="center"/>
        <w:rPr>
          <w:rStyle w:val="10"/>
          <w:rFonts w:asciiTheme="minorEastAsia" w:hAnsiTheme="minorEastAsia" w:eastAsiaTheme="minorEastAsia"/>
          <w:color w:val="2B2B2B"/>
          <w:sz w:val="32"/>
          <w:szCs w:val="32"/>
        </w:rPr>
      </w:pPr>
    </w:p>
    <w:p>
      <w:pPr>
        <w:widowControl/>
        <w:spacing w:line="600" w:lineRule="exact"/>
        <w:jc w:val="center"/>
        <w:rPr>
          <w:rFonts w:eastAsia="方正小标宋_GBK"/>
          <w:bCs/>
          <w:kern w:val="0"/>
          <w:sz w:val="36"/>
          <w:szCs w:val="36"/>
        </w:rPr>
      </w:pPr>
      <w:r>
        <w:rPr>
          <w:rFonts w:eastAsia="方正小标宋_GBK"/>
          <w:bCs/>
          <w:kern w:val="0"/>
          <w:sz w:val="36"/>
          <w:szCs w:val="36"/>
        </w:rPr>
        <w:t>第一部分 202</w:t>
      </w:r>
      <w:r>
        <w:rPr>
          <w:rFonts w:hint="eastAsia" w:eastAsia="方正小标宋_GBK"/>
          <w:bCs/>
          <w:kern w:val="0"/>
          <w:sz w:val="36"/>
          <w:szCs w:val="36"/>
        </w:rPr>
        <w:t>2</w:t>
      </w:r>
      <w:r>
        <w:rPr>
          <w:rFonts w:eastAsia="方正小标宋_GBK"/>
          <w:bCs/>
          <w:kern w:val="0"/>
          <w:sz w:val="36"/>
          <w:szCs w:val="36"/>
        </w:rPr>
        <w:t>年</w:t>
      </w:r>
      <w:r>
        <w:rPr>
          <w:rFonts w:hint="eastAsia" w:eastAsia="方正小标宋_GBK"/>
          <w:bCs/>
          <w:kern w:val="0"/>
          <w:sz w:val="36"/>
          <w:szCs w:val="36"/>
          <w:lang w:val="en-US" w:eastAsia="zh-CN"/>
        </w:rPr>
        <w:t>沅江市规划行政执法直属中队</w:t>
      </w:r>
      <w:r>
        <w:rPr>
          <w:rFonts w:eastAsia="方正小标宋_GBK"/>
          <w:bCs/>
          <w:kern w:val="0"/>
          <w:sz w:val="36"/>
          <w:szCs w:val="36"/>
        </w:rPr>
        <w:t>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sz w:val="32"/>
          <w:szCs w:val="32"/>
        </w:rPr>
      </w:pPr>
      <w:r>
        <w:rPr>
          <w:rFonts w:eastAsia="楷体_GB2312"/>
          <w:b/>
          <w:sz w:val="32"/>
          <w:szCs w:val="32"/>
        </w:rPr>
        <w:t>（一）职能职责。</w:t>
      </w:r>
    </w:p>
    <w:p>
      <w:pPr>
        <w:ind w:firstLine="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负责中心城区未取得建设工程规划许可或者未按照建设工程规划进行建设的、未经批准进行临时建设的、未按照批准内容进行临时建设的、临时建设物或构筑物超过批准期限不拆除的行政执法;行使水利管理方面的城市河道和水域违法建筑物拆除等行政处司权;负责中心城区建筑垃圾(渣土)、建筑工地施工噪声污染、建筑扬尘污染、路面污染等方面违法违规行为的行政执法;负责供水排水、污水处理、桥涵管网、路灯灯饰、园林绿化、市政设施等方面违法违规行为的行政执法;负责对中心城区擅自安装各类管线行为的行政执法;负责房地产开发市场管理、商品房销售管理、房地产中介管理、物业管理等方面违法违规行为的行政执法。</w:t>
      </w:r>
    </w:p>
    <w:p>
      <w:pPr>
        <w:widowControl/>
        <w:spacing w:line="600" w:lineRule="exact"/>
        <w:ind w:firstLine="630" w:firstLineChars="196"/>
        <w:jc w:val="left"/>
        <w:rPr>
          <w:rFonts w:hint="eastAsia" w:eastAsia="楷体_GB2312"/>
          <w:b/>
          <w:sz w:val="32"/>
          <w:szCs w:val="32"/>
        </w:rPr>
      </w:pPr>
      <w:r>
        <w:rPr>
          <w:rFonts w:eastAsia="楷体_GB2312"/>
          <w:b/>
          <w:sz w:val="32"/>
          <w:szCs w:val="32"/>
        </w:rPr>
        <w:t>（二）机构设置。</w:t>
      </w:r>
    </w:p>
    <w:p>
      <w:pPr>
        <w:ind w:firstLine="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截止202</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年12月（预算编制时间），我队纳入部门预算编制</w:t>
      </w:r>
      <w:r>
        <w:rPr>
          <w:rFonts w:hint="eastAsia" w:ascii="仿宋" w:hAnsi="仿宋" w:eastAsia="仿宋" w:cs="宋体"/>
          <w:color w:val="000000"/>
          <w:kern w:val="0"/>
          <w:sz w:val="32"/>
          <w:szCs w:val="32"/>
          <w:lang w:val="en-US" w:eastAsia="zh-CN"/>
        </w:rPr>
        <w:t>29</w:t>
      </w:r>
      <w:r>
        <w:rPr>
          <w:rFonts w:hint="eastAsia" w:ascii="仿宋" w:hAnsi="仿宋" w:eastAsia="仿宋" w:cs="宋体"/>
          <w:color w:val="000000"/>
          <w:kern w:val="0"/>
          <w:sz w:val="32"/>
          <w:szCs w:val="32"/>
        </w:rPr>
        <w:t>人。其中：实有在编人员</w:t>
      </w:r>
      <w:r>
        <w:rPr>
          <w:rFonts w:hint="eastAsia" w:ascii="仿宋" w:hAnsi="仿宋" w:eastAsia="仿宋" w:cs="宋体"/>
          <w:color w:val="000000"/>
          <w:kern w:val="0"/>
          <w:sz w:val="32"/>
          <w:szCs w:val="32"/>
          <w:lang w:val="en-US" w:eastAsia="zh-CN"/>
        </w:rPr>
        <w:t>14</w:t>
      </w:r>
      <w:r>
        <w:rPr>
          <w:rFonts w:hint="eastAsia" w:ascii="仿宋" w:hAnsi="仿宋" w:eastAsia="仿宋" w:cs="宋体"/>
          <w:color w:val="000000"/>
          <w:kern w:val="0"/>
          <w:sz w:val="32"/>
          <w:szCs w:val="32"/>
        </w:rPr>
        <w:t>人，退伍安置人员</w:t>
      </w:r>
      <w:r>
        <w:rPr>
          <w:rFonts w:hint="eastAsia" w:ascii="仿宋" w:hAnsi="仿宋" w:eastAsia="仿宋" w:cs="宋体"/>
          <w:color w:val="000000"/>
          <w:kern w:val="0"/>
          <w:sz w:val="32"/>
          <w:szCs w:val="32"/>
          <w:lang w:val="en-US" w:eastAsia="zh-CN"/>
        </w:rPr>
        <w:t>15</w:t>
      </w:r>
      <w:r>
        <w:rPr>
          <w:rFonts w:hint="eastAsia" w:ascii="仿宋" w:hAnsi="仿宋" w:eastAsia="仿宋" w:cs="宋体"/>
          <w:color w:val="000000"/>
          <w:kern w:val="0"/>
          <w:sz w:val="32"/>
          <w:szCs w:val="32"/>
        </w:rPr>
        <w:t>人。</w:t>
      </w:r>
    </w:p>
    <w:p>
      <w:pPr>
        <w:widowControl/>
        <w:spacing w:line="600" w:lineRule="exact"/>
        <w:ind w:firstLine="627" w:firstLineChars="196"/>
        <w:jc w:val="left"/>
        <w:rPr>
          <w:rFonts w:eastAsia="黑体"/>
          <w:bCs/>
          <w:kern w:val="0"/>
          <w:sz w:val="32"/>
          <w:szCs w:val="32"/>
        </w:rPr>
      </w:pPr>
      <w:r>
        <w:rPr>
          <w:rFonts w:hint="eastAsia" w:eastAsia="黑体"/>
          <w:bCs/>
          <w:kern w:val="0"/>
          <w:sz w:val="32"/>
          <w:szCs w:val="32"/>
          <w:lang w:val="en-US" w:eastAsia="zh-CN"/>
        </w:rPr>
        <w:t>二</w:t>
      </w:r>
      <w:r>
        <w:rPr>
          <w:rFonts w:eastAsia="黑体"/>
          <w:bCs/>
          <w:kern w:val="0"/>
          <w:sz w:val="32"/>
          <w:szCs w:val="32"/>
        </w:rPr>
        <w:t>、部门收支总体情况</w:t>
      </w:r>
    </w:p>
    <w:p>
      <w:pPr>
        <w:ind w:firstLine="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我</w:t>
      </w:r>
      <w:r>
        <w:rPr>
          <w:rFonts w:hint="eastAsia" w:ascii="仿宋" w:hAnsi="仿宋" w:eastAsia="仿宋" w:cs="宋体"/>
          <w:color w:val="000000"/>
          <w:kern w:val="0"/>
          <w:sz w:val="32"/>
          <w:szCs w:val="32"/>
          <w:lang w:val="en-US" w:eastAsia="zh-CN"/>
        </w:rPr>
        <w:t>单位</w:t>
      </w:r>
      <w:r>
        <w:rPr>
          <w:rFonts w:hint="eastAsia" w:ascii="仿宋" w:hAnsi="仿宋" w:eastAsia="仿宋" w:cs="宋体"/>
          <w:color w:val="000000"/>
          <w:kern w:val="0"/>
          <w:sz w:val="32"/>
          <w:szCs w:val="32"/>
        </w:rPr>
        <w:t>2022年没有政府性基金预算拨款收入和纳入专户管理的非税拨款收入，也没有使用政府性基金预算拨款和纳入专户管理的非税收入拨款安排的支出，所以公开的附件8表为空表。</w:t>
      </w:r>
    </w:p>
    <w:p>
      <w:pPr>
        <w:ind w:firstLine="600"/>
        <w:rPr>
          <w:rFonts w:hint="eastAsia" w:ascii="仿宋" w:hAnsi="仿宋" w:eastAsia="仿宋" w:cs="宋体"/>
          <w:color w:val="000000"/>
          <w:kern w:val="0"/>
          <w:sz w:val="32"/>
          <w:szCs w:val="32"/>
        </w:rPr>
      </w:pPr>
      <w:r>
        <w:rPr>
          <w:rFonts w:eastAsia="楷体_GB2312"/>
          <w:b/>
          <w:sz w:val="32"/>
          <w:szCs w:val="32"/>
        </w:rPr>
        <w:t>收入预算：</w:t>
      </w:r>
      <w:r>
        <w:rPr>
          <w:rFonts w:hint="eastAsia" w:ascii="仿宋" w:hAnsi="仿宋" w:eastAsia="仿宋" w:cs="宋体"/>
          <w:color w:val="000000"/>
          <w:kern w:val="0"/>
          <w:sz w:val="32"/>
          <w:szCs w:val="32"/>
        </w:rPr>
        <w:t>2022年单位预算收入</w:t>
      </w:r>
      <w:r>
        <w:rPr>
          <w:rFonts w:hint="eastAsia" w:ascii="仿宋" w:hAnsi="仿宋" w:eastAsia="仿宋" w:cs="宋体"/>
          <w:color w:val="000000"/>
          <w:kern w:val="0"/>
          <w:sz w:val="32"/>
          <w:szCs w:val="32"/>
          <w:lang w:val="en-US" w:eastAsia="zh-CN"/>
        </w:rPr>
        <w:t>344.17</w:t>
      </w:r>
      <w:r>
        <w:rPr>
          <w:rFonts w:hint="eastAsia" w:ascii="仿宋" w:hAnsi="仿宋" w:eastAsia="仿宋" w:cs="宋体"/>
          <w:color w:val="000000"/>
          <w:kern w:val="0"/>
          <w:sz w:val="32"/>
          <w:szCs w:val="32"/>
        </w:rPr>
        <w:t>万元，其中：一般公共预算拨款</w:t>
      </w:r>
      <w:r>
        <w:rPr>
          <w:rFonts w:hint="eastAsia" w:ascii="仿宋" w:hAnsi="仿宋" w:eastAsia="仿宋" w:cs="宋体"/>
          <w:color w:val="000000"/>
          <w:kern w:val="0"/>
          <w:sz w:val="32"/>
          <w:szCs w:val="32"/>
          <w:lang w:val="en-US" w:eastAsia="zh-CN"/>
        </w:rPr>
        <w:t>296.17</w:t>
      </w:r>
      <w:r>
        <w:rPr>
          <w:rFonts w:hint="eastAsia" w:ascii="仿宋" w:hAnsi="仿宋" w:eastAsia="仿宋" w:cs="宋体"/>
          <w:color w:val="000000"/>
          <w:kern w:val="0"/>
          <w:sz w:val="32"/>
          <w:szCs w:val="32"/>
        </w:rPr>
        <w:t>万元，纳入公共预算管理的非税拨款</w:t>
      </w:r>
    </w:p>
    <w:p>
      <w:pPr>
        <w:ind w:firstLine="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48</w:t>
      </w:r>
      <w:r>
        <w:rPr>
          <w:rFonts w:hint="eastAsia" w:ascii="仿宋" w:hAnsi="仿宋" w:eastAsia="仿宋" w:cs="宋体"/>
          <w:color w:val="000000"/>
          <w:kern w:val="0"/>
          <w:sz w:val="32"/>
          <w:szCs w:val="32"/>
        </w:rPr>
        <w:t>万元，政府性基金拨款0万元，纳入专户管理的非税收入0万元，事业单位经营收入0万元，其他收入0万元。收入较去年</w:t>
      </w:r>
      <w:r>
        <w:rPr>
          <w:rFonts w:hint="eastAsia" w:ascii="仿宋" w:hAnsi="仿宋" w:eastAsia="仿宋" w:cs="宋体"/>
          <w:color w:val="000000"/>
          <w:kern w:val="0"/>
          <w:sz w:val="32"/>
          <w:szCs w:val="32"/>
          <w:lang w:val="en-US" w:eastAsia="zh-CN"/>
        </w:rPr>
        <w:t>减少了30.047</w:t>
      </w:r>
      <w:r>
        <w:rPr>
          <w:rFonts w:hint="eastAsia" w:ascii="仿宋" w:hAnsi="仿宋" w:eastAsia="仿宋" w:cs="宋体"/>
          <w:color w:val="000000"/>
          <w:kern w:val="0"/>
          <w:sz w:val="32"/>
          <w:szCs w:val="32"/>
        </w:rPr>
        <w:t>万元，主要是非税拨款收入增加</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人员减少了。</w:t>
      </w:r>
      <w:r>
        <w:rPr>
          <w:rFonts w:hint="eastAsia" w:ascii="仿宋" w:hAnsi="仿宋" w:eastAsia="仿宋" w:cs="宋体"/>
          <w:color w:val="000000"/>
          <w:kern w:val="0"/>
          <w:sz w:val="32"/>
          <w:szCs w:val="32"/>
        </w:rPr>
        <w:t>　</w:t>
      </w:r>
    </w:p>
    <w:p>
      <w:pPr>
        <w:ind w:firstLine="600"/>
        <w:rPr>
          <w:rFonts w:hint="eastAsia" w:ascii="仿宋" w:hAnsi="仿宋" w:eastAsia="仿宋" w:cs="宋体"/>
          <w:color w:val="000000"/>
          <w:kern w:val="0"/>
          <w:sz w:val="32"/>
          <w:szCs w:val="32"/>
        </w:rPr>
      </w:pPr>
      <w:r>
        <w:rPr>
          <w:rFonts w:eastAsia="楷体_GB2312"/>
          <w:b/>
          <w:sz w:val="32"/>
          <w:szCs w:val="32"/>
        </w:rPr>
        <w:t>（二）支出预算：</w:t>
      </w:r>
      <w:r>
        <w:rPr>
          <w:rFonts w:hint="eastAsia" w:ascii="仿宋" w:hAnsi="仿宋" w:eastAsia="仿宋" w:cs="宋体"/>
          <w:color w:val="000000"/>
          <w:kern w:val="0"/>
          <w:sz w:val="32"/>
          <w:szCs w:val="32"/>
        </w:rPr>
        <w:t>2022年本部门支出预算</w:t>
      </w:r>
      <w:r>
        <w:rPr>
          <w:rFonts w:hint="eastAsia" w:ascii="仿宋" w:hAnsi="仿宋" w:eastAsia="仿宋" w:cs="宋体"/>
          <w:color w:val="000000"/>
          <w:kern w:val="0"/>
          <w:sz w:val="32"/>
          <w:szCs w:val="32"/>
          <w:lang w:val="en-US" w:eastAsia="zh-CN"/>
        </w:rPr>
        <w:t>344.17</w:t>
      </w:r>
      <w:r>
        <w:rPr>
          <w:rFonts w:hint="eastAsia" w:ascii="仿宋" w:hAnsi="仿宋" w:eastAsia="仿宋" w:cs="宋体"/>
          <w:color w:val="000000"/>
          <w:kern w:val="0"/>
          <w:sz w:val="32"/>
          <w:szCs w:val="32"/>
        </w:rPr>
        <w:t>万元，其中， 基本支出</w:t>
      </w:r>
      <w:r>
        <w:rPr>
          <w:rFonts w:hint="eastAsia" w:ascii="仿宋" w:hAnsi="仿宋" w:eastAsia="仿宋" w:cs="宋体"/>
          <w:color w:val="000000"/>
          <w:kern w:val="0"/>
          <w:sz w:val="32"/>
          <w:szCs w:val="32"/>
          <w:lang w:val="en-US" w:eastAsia="zh-CN"/>
        </w:rPr>
        <w:t>235.95</w:t>
      </w:r>
      <w:r>
        <w:rPr>
          <w:rFonts w:hint="eastAsia" w:ascii="仿宋" w:hAnsi="仿宋" w:eastAsia="仿宋" w:cs="宋体"/>
          <w:color w:val="000000"/>
          <w:kern w:val="0"/>
          <w:sz w:val="32"/>
          <w:szCs w:val="32"/>
        </w:rPr>
        <w:t>万元，分别为：人员经费支出</w:t>
      </w:r>
      <w:r>
        <w:rPr>
          <w:rFonts w:hint="eastAsia" w:ascii="仿宋" w:hAnsi="仿宋" w:eastAsia="仿宋" w:cs="宋体"/>
          <w:color w:val="000000"/>
          <w:kern w:val="0"/>
          <w:sz w:val="32"/>
          <w:szCs w:val="32"/>
          <w:lang w:val="en-US" w:eastAsia="zh-CN"/>
        </w:rPr>
        <w:t>206.97</w:t>
      </w:r>
      <w:r>
        <w:rPr>
          <w:rFonts w:hint="eastAsia" w:ascii="仿宋" w:hAnsi="仿宋" w:eastAsia="仿宋" w:cs="宋体"/>
          <w:color w:val="000000"/>
          <w:kern w:val="0"/>
          <w:sz w:val="32"/>
          <w:szCs w:val="32"/>
        </w:rPr>
        <w:t>万元，公用经费支出</w:t>
      </w:r>
      <w:r>
        <w:rPr>
          <w:rFonts w:hint="eastAsia" w:ascii="仿宋" w:hAnsi="仿宋" w:eastAsia="仿宋" w:cs="宋体"/>
          <w:color w:val="000000"/>
          <w:kern w:val="0"/>
          <w:sz w:val="32"/>
          <w:szCs w:val="32"/>
          <w:lang w:val="en-US" w:eastAsia="zh-CN"/>
        </w:rPr>
        <w:t>29</w:t>
      </w:r>
      <w:r>
        <w:rPr>
          <w:rFonts w:hint="eastAsia" w:ascii="仿宋" w:hAnsi="仿宋" w:eastAsia="仿宋" w:cs="宋体"/>
          <w:color w:val="000000"/>
          <w:kern w:val="0"/>
          <w:sz w:val="32"/>
          <w:szCs w:val="32"/>
        </w:rPr>
        <w:t>万元，项目支出</w:t>
      </w:r>
      <w:r>
        <w:rPr>
          <w:rFonts w:hint="eastAsia" w:ascii="仿宋" w:hAnsi="仿宋" w:eastAsia="仿宋" w:cs="宋体"/>
          <w:color w:val="000000"/>
          <w:kern w:val="0"/>
          <w:sz w:val="32"/>
          <w:szCs w:val="32"/>
          <w:lang w:val="en-US" w:eastAsia="zh-CN"/>
        </w:rPr>
        <w:t>108.2</w:t>
      </w:r>
      <w:r>
        <w:rPr>
          <w:rFonts w:hint="eastAsia" w:ascii="仿宋" w:hAnsi="仿宋" w:eastAsia="仿宋" w:cs="宋体"/>
          <w:color w:val="000000"/>
          <w:kern w:val="0"/>
          <w:sz w:val="32"/>
          <w:szCs w:val="32"/>
        </w:rPr>
        <w:t>万元。</w:t>
      </w:r>
    </w:p>
    <w:p>
      <w:pPr>
        <w:ind w:firstLine="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支出较去年相比基本支出</w:t>
      </w:r>
      <w:r>
        <w:rPr>
          <w:rFonts w:hint="eastAsia" w:ascii="仿宋" w:hAnsi="仿宋" w:eastAsia="仿宋" w:cs="宋体"/>
          <w:color w:val="000000"/>
          <w:kern w:val="0"/>
          <w:sz w:val="32"/>
          <w:szCs w:val="32"/>
          <w:lang w:val="en-US" w:eastAsia="zh-CN"/>
        </w:rPr>
        <w:t>减少</w:t>
      </w:r>
      <w:r>
        <w:rPr>
          <w:rFonts w:hint="eastAsia" w:ascii="仿宋" w:hAnsi="仿宋" w:eastAsia="仿宋" w:cs="宋体"/>
          <w:color w:val="000000"/>
          <w:kern w:val="0"/>
          <w:sz w:val="32"/>
          <w:szCs w:val="32"/>
        </w:rPr>
        <w:t>了</w:t>
      </w:r>
      <w:r>
        <w:rPr>
          <w:rFonts w:hint="eastAsia" w:ascii="仿宋" w:hAnsi="仿宋" w:eastAsia="仿宋" w:cs="宋体"/>
          <w:color w:val="000000"/>
          <w:kern w:val="0"/>
          <w:sz w:val="32"/>
          <w:szCs w:val="32"/>
          <w:lang w:val="en-US" w:eastAsia="zh-CN"/>
        </w:rPr>
        <w:t>30.047</w:t>
      </w:r>
      <w:r>
        <w:rPr>
          <w:rFonts w:hint="eastAsia" w:ascii="仿宋" w:hAnsi="仿宋" w:eastAsia="仿宋" w:cs="宋体"/>
          <w:color w:val="000000"/>
          <w:kern w:val="0"/>
          <w:sz w:val="32"/>
          <w:szCs w:val="32"/>
        </w:rPr>
        <w:t>万元，减少主要</w:t>
      </w:r>
      <w:r>
        <w:rPr>
          <w:rFonts w:hint="eastAsia" w:ascii="仿宋" w:hAnsi="仿宋" w:eastAsia="仿宋" w:cs="宋体"/>
          <w:color w:val="000000"/>
          <w:kern w:val="0"/>
          <w:sz w:val="32"/>
          <w:szCs w:val="32"/>
          <w:lang w:val="en-US" w:eastAsia="zh-CN"/>
        </w:rPr>
        <w:t>原因</w:t>
      </w:r>
      <w:r>
        <w:rPr>
          <w:rFonts w:hint="eastAsia" w:ascii="仿宋" w:hAnsi="仿宋" w:eastAsia="仿宋" w:cs="宋体"/>
          <w:color w:val="000000"/>
          <w:kern w:val="0"/>
          <w:sz w:val="32"/>
          <w:szCs w:val="32"/>
        </w:rPr>
        <w:t>是非税拨款收入增加</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人员减少了。</w:t>
      </w:r>
    </w:p>
    <w:p>
      <w:pPr>
        <w:widowControl/>
        <w:spacing w:line="600" w:lineRule="exact"/>
        <w:ind w:firstLine="660"/>
        <w:jc w:val="left"/>
        <w:rPr>
          <w:rFonts w:eastAsia="黑体"/>
          <w:sz w:val="32"/>
          <w:szCs w:val="32"/>
        </w:rPr>
      </w:pPr>
      <w:r>
        <w:rPr>
          <w:rFonts w:hint="eastAsia" w:eastAsia="黑体"/>
          <w:sz w:val="32"/>
          <w:szCs w:val="32"/>
          <w:lang w:val="en-US" w:eastAsia="zh-CN"/>
        </w:rPr>
        <w:t>三</w:t>
      </w:r>
      <w:r>
        <w:rPr>
          <w:rFonts w:eastAsia="黑体"/>
          <w:sz w:val="32"/>
          <w:szCs w:val="32"/>
        </w:rPr>
        <w:t>、一般公共预算拨款支出</w:t>
      </w:r>
    </w:p>
    <w:p>
      <w:pPr>
        <w:ind w:firstLine="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2022年本部门一般公共预算拨款支出预算</w:t>
      </w:r>
      <w:r>
        <w:rPr>
          <w:rFonts w:hint="eastAsia" w:ascii="仿宋" w:hAnsi="仿宋" w:eastAsia="仿宋" w:cs="宋体"/>
          <w:color w:val="000000"/>
          <w:kern w:val="0"/>
          <w:sz w:val="32"/>
          <w:szCs w:val="32"/>
          <w:lang w:val="en-US" w:eastAsia="zh-CN"/>
        </w:rPr>
        <w:t>344.17</w:t>
      </w:r>
      <w:r>
        <w:rPr>
          <w:rFonts w:hint="eastAsia" w:ascii="仿宋" w:hAnsi="仿宋" w:eastAsia="仿宋" w:cs="宋体"/>
          <w:color w:val="000000"/>
          <w:kern w:val="0"/>
          <w:sz w:val="32"/>
          <w:szCs w:val="32"/>
        </w:rPr>
        <w:t>万元，其中，工资福利支出</w:t>
      </w:r>
      <w:r>
        <w:rPr>
          <w:rFonts w:hint="eastAsia" w:ascii="仿宋" w:hAnsi="仿宋" w:eastAsia="仿宋" w:cs="宋体"/>
          <w:color w:val="000000"/>
          <w:kern w:val="0"/>
          <w:sz w:val="32"/>
          <w:szCs w:val="32"/>
          <w:lang w:val="en-US" w:eastAsia="zh-CN"/>
        </w:rPr>
        <w:t>206.97</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60</w:t>
      </w:r>
      <w:r>
        <w:rPr>
          <w:rFonts w:hint="eastAsia" w:ascii="仿宋" w:hAnsi="仿宋" w:eastAsia="仿宋" w:cs="宋体"/>
          <w:color w:val="000000"/>
          <w:kern w:val="0"/>
          <w:sz w:val="32"/>
          <w:szCs w:val="32"/>
        </w:rPr>
        <w:t>%；商品和服务支出</w:t>
      </w:r>
      <w:r>
        <w:rPr>
          <w:rFonts w:hint="eastAsia" w:ascii="仿宋" w:hAnsi="仿宋" w:eastAsia="仿宋" w:cs="宋体"/>
          <w:color w:val="000000"/>
          <w:kern w:val="0"/>
          <w:sz w:val="32"/>
          <w:szCs w:val="32"/>
          <w:lang w:val="en-US" w:eastAsia="zh-CN"/>
        </w:rPr>
        <w:t>29</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8.6</w:t>
      </w:r>
      <w:r>
        <w:rPr>
          <w:rFonts w:hint="eastAsia" w:ascii="仿宋" w:hAnsi="仿宋" w:eastAsia="仿宋" w:cs="宋体"/>
          <w:color w:val="000000"/>
          <w:kern w:val="0"/>
          <w:sz w:val="32"/>
          <w:szCs w:val="32"/>
        </w:rPr>
        <w:t>%；项目支出</w:t>
      </w:r>
      <w:r>
        <w:rPr>
          <w:rFonts w:hint="eastAsia" w:ascii="仿宋" w:hAnsi="仿宋" w:eastAsia="仿宋" w:cs="宋体"/>
          <w:color w:val="000000"/>
          <w:kern w:val="0"/>
          <w:sz w:val="32"/>
          <w:szCs w:val="32"/>
          <w:lang w:val="en-US" w:eastAsia="zh-CN"/>
        </w:rPr>
        <w:t>108.2</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31.4</w:t>
      </w:r>
      <w:r>
        <w:rPr>
          <w:rFonts w:hint="eastAsia" w:ascii="仿宋" w:hAnsi="仿宋" w:eastAsia="仿宋" w:cs="宋体"/>
          <w:color w:val="000000"/>
          <w:kern w:val="0"/>
          <w:sz w:val="32"/>
          <w:szCs w:val="32"/>
        </w:rPr>
        <w:t>%。具体安排情况如下：</w:t>
      </w:r>
    </w:p>
    <w:p>
      <w:pPr>
        <w:widowControl/>
        <w:spacing w:line="600" w:lineRule="exact"/>
        <w:ind w:firstLine="660"/>
        <w:jc w:val="left"/>
        <w:rPr>
          <w:rFonts w:hint="eastAsia" w:ascii="仿宋" w:hAnsi="仿宋" w:eastAsia="仿宋" w:cs="宋体"/>
          <w:color w:val="000000"/>
          <w:kern w:val="0"/>
          <w:sz w:val="32"/>
          <w:szCs w:val="32"/>
        </w:rPr>
      </w:pPr>
      <w:r>
        <w:rPr>
          <w:rFonts w:eastAsia="楷体_GB2312"/>
          <w:b/>
          <w:sz w:val="32"/>
          <w:szCs w:val="32"/>
        </w:rPr>
        <w:t>（一）基本支出：</w:t>
      </w:r>
      <w:r>
        <w:rPr>
          <w:rFonts w:hint="eastAsia" w:ascii="仿宋" w:hAnsi="仿宋" w:eastAsia="仿宋" w:cs="宋体"/>
          <w:color w:val="000000"/>
          <w:kern w:val="0"/>
          <w:sz w:val="32"/>
          <w:szCs w:val="32"/>
        </w:rPr>
        <w:t>2022年本部门基本支出预算数</w:t>
      </w:r>
      <w:r>
        <w:rPr>
          <w:rFonts w:hint="eastAsia" w:ascii="仿宋" w:hAnsi="仿宋" w:eastAsia="仿宋" w:cs="宋体"/>
          <w:color w:val="000000"/>
          <w:kern w:val="0"/>
          <w:sz w:val="32"/>
          <w:szCs w:val="32"/>
          <w:lang w:val="en-US" w:eastAsia="zh-CN"/>
        </w:rPr>
        <w:t>235.97</w:t>
      </w:r>
      <w:r>
        <w:rPr>
          <w:rFonts w:hint="eastAsia" w:ascii="仿宋" w:hAnsi="仿宋" w:eastAsia="仿宋" w:cs="宋体"/>
          <w:color w:val="000000"/>
          <w:kern w:val="0"/>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ascii="仿宋" w:hAnsi="仿宋" w:eastAsia="仿宋" w:cs="宋体"/>
          <w:color w:val="000000"/>
          <w:kern w:val="0"/>
          <w:sz w:val="32"/>
          <w:szCs w:val="32"/>
          <w:lang w:eastAsia="zh-CN"/>
        </w:rPr>
      </w:pPr>
      <w:r>
        <w:rPr>
          <w:rFonts w:eastAsia="楷体_GB2312"/>
          <w:b/>
          <w:sz w:val="32"/>
          <w:szCs w:val="32"/>
        </w:rPr>
        <w:t>（二）项目支出：</w:t>
      </w:r>
      <w:r>
        <w:rPr>
          <w:rFonts w:hint="eastAsia" w:ascii="仿宋" w:hAnsi="仿宋" w:eastAsia="仿宋" w:cs="宋体"/>
          <w:color w:val="000000"/>
          <w:kern w:val="0"/>
          <w:sz w:val="32"/>
          <w:szCs w:val="32"/>
        </w:rPr>
        <w:t>2022年本部门项目支出预算</w:t>
      </w:r>
      <w:r>
        <w:rPr>
          <w:rFonts w:hint="eastAsia" w:ascii="仿宋" w:hAnsi="仿宋" w:eastAsia="仿宋" w:cs="宋体"/>
          <w:color w:val="000000"/>
          <w:kern w:val="0"/>
          <w:sz w:val="32"/>
          <w:szCs w:val="32"/>
          <w:lang w:val="en-US" w:eastAsia="zh-CN"/>
        </w:rPr>
        <w:t>108.2</w:t>
      </w:r>
      <w:r>
        <w:rPr>
          <w:rFonts w:hint="eastAsia" w:ascii="仿宋" w:hAnsi="仿宋" w:eastAsia="仿宋" w:cs="宋体"/>
          <w:color w:val="000000"/>
          <w:kern w:val="0"/>
          <w:sz w:val="32"/>
          <w:szCs w:val="32"/>
        </w:rPr>
        <w:t>万元，其中:规划执法项目支出6</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.2万元，主要用于治违、控违、拆违等方面；规划执法项目支出4</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万元，主要用于治违、控违、拆违等方面</w:t>
      </w:r>
      <w:r>
        <w:rPr>
          <w:rFonts w:hint="eastAsia" w:ascii="仿宋" w:hAnsi="仿宋" w:eastAsia="仿宋" w:cs="宋体"/>
          <w:color w:val="000000"/>
          <w:kern w:val="0"/>
          <w:sz w:val="32"/>
          <w:szCs w:val="32"/>
          <w:lang w:eastAsia="zh-CN"/>
        </w:rPr>
        <w:t>。</w:t>
      </w:r>
    </w:p>
    <w:p>
      <w:pPr>
        <w:widowControl/>
        <w:spacing w:line="600" w:lineRule="exact"/>
        <w:ind w:firstLine="660"/>
        <w:jc w:val="left"/>
        <w:rPr>
          <w:rFonts w:eastAsia="黑体"/>
          <w:sz w:val="32"/>
          <w:szCs w:val="32"/>
        </w:rPr>
      </w:pPr>
      <w:r>
        <w:rPr>
          <w:rFonts w:hint="eastAsia" w:eastAsia="黑体"/>
          <w:sz w:val="32"/>
          <w:szCs w:val="32"/>
          <w:lang w:val="en-US" w:eastAsia="zh-CN"/>
        </w:rPr>
        <w:t>四</w:t>
      </w:r>
      <w:r>
        <w:rPr>
          <w:rFonts w:eastAsia="黑体"/>
          <w:sz w:val="32"/>
          <w:szCs w:val="32"/>
        </w:rPr>
        <w:t>、其他重要事项的情况说明</w:t>
      </w:r>
    </w:p>
    <w:p>
      <w:pPr>
        <w:widowControl/>
        <w:shd w:val="clear" w:color="auto" w:fill="FFFFFF"/>
        <w:spacing w:line="560" w:lineRule="atLeast"/>
        <w:ind w:firstLine="643" w:firstLineChars="200"/>
        <w:rPr>
          <w:rFonts w:hint="eastAsia" w:ascii="仿宋" w:hAnsi="仿宋" w:eastAsia="仿宋" w:cs="宋体"/>
          <w:color w:val="000000"/>
          <w:kern w:val="0"/>
          <w:sz w:val="32"/>
          <w:szCs w:val="32"/>
        </w:rPr>
      </w:pPr>
      <w:r>
        <w:rPr>
          <w:rFonts w:eastAsia="楷体_GB2312"/>
          <w:b/>
          <w:sz w:val="32"/>
          <w:szCs w:val="32"/>
        </w:rPr>
        <w:t>（一）机关运行经费：</w:t>
      </w:r>
      <w:r>
        <w:rPr>
          <w:rFonts w:hint="eastAsia" w:ascii="仿宋" w:hAnsi="仿宋" w:eastAsia="仿宋" w:cs="宋体"/>
          <w:color w:val="000000"/>
          <w:kern w:val="0"/>
          <w:sz w:val="32"/>
          <w:szCs w:val="32"/>
        </w:rPr>
        <w:t>2022年机关运行经费</w:t>
      </w:r>
      <w:r>
        <w:rPr>
          <w:rFonts w:hint="eastAsia" w:ascii="仿宋" w:hAnsi="仿宋" w:eastAsia="仿宋" w:cs="宋体"/>
          <w:color w:val="000000"/>
          <w:kern w:val="0"/>
          <w:sz w:val="32"/>
          <w:szCs w:val="32"/>
          <w:lang w:val="en-US" w:eastAsia="zh-CN"/>
        </w:rPr>
        <w:t>29</w:t>
      </w:r>
      <w:r>
        <w:rPr>
          <w:rFonts w:hint="eastAsia" w:ascii="仿宋" w:hAnsi="仿宋" w:eastAsia="仿宋" w:cs="宋体"/>
          <w:color w:val="000000"/>
          <w:kern w:val="0"/>
          <w:sz w:val="32"/>
          <w:szCs w:val="32"/>
        </w:rPr>
        <w:t>万元，比上年预算</w:t>
      </w:r>
      <w:r>
        <w:rPr>
          <w:rFonts w:hint="eastAsia" w:ascii="仿宋" w:hAnsi="仿宋" w:eastAsia="仿宋" w:cs="宋体"/>
          <w:color w:val="000000"/>
          <w:kern w:val="0"/>
          <w:sz w:val="32"/>
          <w:szCs w:val="32"/>
          <w:lang w:val="en-US" w:eastAsia="zh-CN"/>
        </w:rPr>
        <w:t>减少5</w:t>
      </w:r>
      <w:r>
        <w:rPr>
          <w:rFonts w:hint="eastAsia" w:ascii="仿宋" w:hAnsi="仿宋" w:eastAsia="仿宋" w:cs="宋体"/>
          <w:color w:val="000000"/>
          <w:kern w:val="0"/>
          <w:sz w:val="32"/>
          <w:szCs w:val="32"/>
        </w:rPr>
        <w:t>万元，</w:t>
      </w:r>
      <w:r>
        <w:rPr>
          <w:rFonts w:hint="eastAsia" w:ascii="仿宋" w:hAnsi="仿宋" w:eastAsia="仿宋" w:cs="宋体"/>
          <w:color w:val="000000"/>
          <w:kern w:val="0"/>
          <w:sz w:val="32"/>
          <w:szCs w:val="32"/>
          <w:lang w:val="en-US" w:eastAsia="zh-CN"/>
        </w:rPr>
        <w:t>减少1.75</w:t>
      </w:r>
      <w:r>
        <w:rPr>
          <w:rFonts w:hint="eastAsia" w:ascii="仿宋" w:hAnsi="仿宋" w:eastAsia="仿宋" w:cs="宋体"/>
          <w:color w:val="000000"/>
          <w:kern w:val="0"/>
          <w:sz w:val="32"/>
          <w:szCs w:val="32"/>
        </w:rPr>
        <w:t>%，主要</w:t>
      </w:r>
      <w:r>
        <w:rPr>
          <w:rFonts w:hint="eastAsia" w:ascii="仿宋" w:hAnsi="仿宋" w:eastAsia="仿宋" w:cs="宋体"/>
          <w:color w:val="000000"/>
          <w:kern w:val="0"/>
          <w:sz w:val="32"/>
          <w:szCs w:val="32"/>
          <w:lang w:val="en-US" w:eastAsia="zh-CN"/>
        </w:rPr>
        <w:t>原因</w:t>
      </w:r>
      <w:r>
        <w:rPr>
          <w:rFonts w:hint="eastAsia" w:ascii="仿宋" w:hAnsi="仿宋" w:eastAsia="仿宋" w:cs="宋体"/>
          <w:color w:val="000000"/>
          <w:kern w:val="0"/>
          <w:sz w:val="32"/>
          <w:szCs w:val="32"/>
        </w:rPr>
        <w:t>是</w:t>
      </w:r>
      <w:r>
        <w:rPr>
          <w:rFonts w:hint="eastAsia" w:ascii="仿宋" w:hAnsi="仿宋" w:eastAsia="仿宋" w:cs="宋体"/>
          <w:color w:val="000000"/>
          <w:kern w:val="0"/>
          <w:sz w:val="32"/>
          <w:szCs w:val="32"/>
          <w:lang w:val="en-US" w:eastAsia="zh-CN"/>
        </w:rPr>
        <w:t>人员减少了。</w:t>
      </w:r>
    </w:p>
    <w:p>
      <w:pPr>
        <w:widowControl/>
        <w:spacing w:line="600" w:lineRule="exact"/>
        <w:ind w:firstLine="660"/>
        <w:jc w:val="left"/>
        <w:rPr>
          <w:rFonts w:eastAsia="仿宋_GB2312"/>
          <w:sz w:val="32"/>
          <w:szCs w:val="32"/>
        </w:rPr>
      </w:pPr>
    </w:p>
    <w:p>
      <w:pPr>
        <w:ind w:firstLine="600"/>
        <w:rPr>
          <w:rFonts w:hint="eastAsia" w:ascii="仿宋" w:hAnsi="仿宋" w:eastAsia="仿宋" w:cs="宋体"/>
          <w:color w:val="000000"/>
          <w:kern w:val="0"/>
          <w:sz w:val="32"/>
          <w:szCs w:val="32"/>
          <w:lang w:eastAsia="zh-CN"/>
        </w:rPr>
      </w:pPr>
      <w:r>
        <w:rPr>
          <w:rFonts w:eastAsia="楷体_GB2312"/>
          <w:b/>
          <w:sz w:val="32"/>
          <w:szCs w:val="32"/>
        </w:rPr>
        <w:t>（二）“三公”经费预算：</w:t>
      </w:r>
      <w:r>
        <w:rPr>
          <w:rFonts w:hint="eastAsia" w:ascii="仿宋" w:hAnsi="仿宋" w:eastAsia="仿宋" w:cs="宋体"/>
          <w:color w:val="000000"/>
          <w:kern w:val="0"/>
          <w:sz w:val="32"/>
          <w:szCs w:val="32"/>
        </w:rPr>
        <w:t>2022年，我单位 “三公”经费财政拨款预算数</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万元，其中：公务接待费</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万元，公务用车购置费用0万元</w:t>
      </w:r>
      <w:r>
        <w:rPr>
          <w:rFonts w:hint="eastAsia" w:ascii="仿宋" w:hAnsi="仿宋" w:eastAsia="仿宋" w:cs="宋体"/>
          <w:color w:val="000000"/>
          <w:kern w:val="0"/>
          <w:sz w:val="32"/>
          <w:szCs w:val="32"/>
          <w:lang w:eastAsia="zh-CN"/>
        </w:rPr>
        <w:t>。</w:t>
      </w:r>
    </w:p>
    <w:p>
      <w:pPr>
        <w:spacing w:line="600" w:lineRule="exact"/>
        <w:ind w:firstLine="643" w:firstLineChars="200"/>
        <w:rPr>
          <w:rFonts w:hint="eastAsia" w:ascii="仿宋" w:hAnsi="仿宋" w:eastAsia="仿宋" w:cs="宋体"/>
          <w:color w:val="000000"/>
          <w:kern w:val="0"/>
          <w:sz w:val="32"/>
          <w:szCs w:val="32"/>
        </w:rPr>
      </w:pPr>
      <w:r>
        <w:rPr>
          <w:rFonts w:eastAsia="楷体_GB2312"/>
          <w:b/>
          <w:sz w:val="32"/>
          <w:szCs w:val="32"/>
        </w:rPr>
        <w:t>（三）一般性支出情况：</w:t>
      </w:r>
      <w:r>
        <w:rPr>
          <w:rFonts w:hint="eastAsia" w:ascii="仿宋" w:hAnsi="仿宋" w:eastAsia="仿宋" w:cs="宋体"/>
          <w:color w:val="000000"/>
          <w:kern w:val="0"/>
          <w:sz w:val="32"/>
          <w:szCs w:val="32"/>
        </w:rPr>
        <w:t>2022年我单位无会议费、培训费预算支出。</w:t>
      </w:r>
    </w:p>
    <w:p>
      <w:pPr>
        <w:ind w:firstLine="482" w:firstLineChars="150"/>
        <w:rPr>
          <w:rFonts w:hint="eastAsia" w:ascii="仿宋" w:hAnsi="仿宋" w:eastAsia="仿宋" w:cs="宋体"/>
          <w:color w:val="000000"/>
          <w:kern w:val="0"/>
          <w:sz w:val="32"/>
          <w:szCs w:val="32"/>
        </w:rPr>
      </w:pPr>
      <w:r>
        <w:rPr>
          <w:rFonts w:eastAsia="楷体_GB2312"/>
          <w:b/>
          <w:sz w:val="32"/>
          <w:szCs w:val="32"/>
        </w:rPr>
        <w:t>（四）政府采购情况：</w:t>
      </w:r>
      <w:r>
        <w:rPr>
          <w:rFonts w:hint="eastAsia" w:ascii="仿宋" w:hAnsi="仿宋" w:eastAsia="仿宋" w:cs="宋体"/>
          <w:color w:val="000000"/>
          <w:kern w:val="0"/>
          <w:sz w:val="32"/>
          <w:szCs w:val="32"/>
        </w:rPr>
        <w:t>2022年，我单位安排政府采购预算0万元。</w:t>
      </w:r>
    </w:p>
    <w:p>
      <w:pPr>
        <w:ind w:firstLine="321" w:firstLineChars="100"/>
        <w:rPr>
          <w:rFonts w:ascii="仿宋" w:hAnsi="仿宋" w:eastAsia="仿宋" w:cs="宋体"/>
          <w:color w:val="000000"/>
          <w:kern w:val="0"/>
          <w:sz w:val="32"/>
          <w:szCs w:val="32"/>
        </w:rPr>
      </w:pPr>
      <w:r>
        <w:rPr>
          <w:rFonts w:eastAsia="楷体_GB2312"/>
          <w:b/>
          <w:sz w:val="32"/>
          <w:szCs w:val="32"/>
        </w:rPr>
        <w:t>（五）国有资产占用使用及新增资产配置情况</w:t>
      </w:r>
      <w:r>
        <w:rPr>
          <w:rFonts w:hint="eastAsia" w:eastAsia="楷体_GB2312"/>
          <w:b/>
          <w:sz w:val="32"/>
          <w:szCs w:val="32"/>
          <w:lang w:eastAsia="zh-CN"/>
        </w:rPr>
        <w:t>：</w:t>
      </w:r>
      <w:r>
        <w:rPr>
          <w:rFonts w:hint="eastAsia" w:ascii="仿宋" w:hAnsi="仿宋" w:eastAsia="仿宋" w:cs="宋体"/>
          <w:color w:val="000000"/>
          <w:kern w:val="0"/>
          <w:sz w:val="32"/>
          <w:szCs w:val="32"/>
        </w:rPr>
        <w:t xml:space="preserve"> 截止202</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年12月30日，我单位共有车辆0辆，专用设备0台，价值0万元等等。</w:t>
      </w:r>
    </w:p>
    <w:p>
      <w:pPr>
        <w:widowControl/>
        <w:spacing w:line="600" w:lineRule="exact"/>
        <w:ind w:firstLine="660"/>
        <w:rPr>
          <w:rFonts w:eastAsia="仿宋_GB2312"/>
          <w:bCs/>
          <w:kern w:val="0"/>
          <w:sz w:val="32"/>
          <w:szCs w:val="32"/>
        </w:rPr>
      </w:pPr>
    </w:p>
    <w:p>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本部门所有支出实行绩效目标管理。纳入202</w:t>
      </w:r>
      <w:r>
        <w:rPr>
          <w:rFonts w:hint="eastAsia" w:eastAsia="仿宋_GB2312"/>
          <w:bCs/>
          <w:kern w:val="0"/>
          <w:sz w:val="32"/>
          <w:szCs w:val="32"/>
        </w:rPr>
        <w:t>2</w:t>
      </w:r>
      <w:r>
        <w:rPr>
          <w:rFonts w:eastAsia="仿宋_GB2312"/>
          <w:bCs/>
          <w:kern w:val="0"/>
          <w:sz w:val="32"/>
          <w:szCs w:val="32"/>
        </w:rPr>
        <w:t>年部门整体支出绩效目标的金额为</w:t>
      </w:r>
      <w:r>
        <w:rPr>
          <w:rFonts w:hint="eastAsia" w:ascii="仿宋" w:hAnsi="仿宋" w:eastAsia="仿宋" w:cs="宋体"/>
          <w:color w:val="000000"/>
          <w:kern w:val="0"/>
          <w:sz w:val="32"/>
          <w:szCs w:val="32"/>
          <w:lang w:val="en-US" w:eastAsia="zh-CN"/>
        </w:rPr>
        <w:t>344.17</w:t>
      </w:r>
      <w:r>
        <w:rPr>
          <w:rFonts w:eastAsia="仿宋_GB2312"/>
          <w:bCs/>
          <w:kern w:val="0"/>
          <w:sz w:val="32"/>
          <w:szCs w:val="32"/>
        </w:rPr>
        <w:t>万元，其中，基本支出</w:t>
      </w:r>
      <w:r>
        <w:rPr>
          <w:rFonts w:hint="eastAsia" w:eastAsia="仿宋_GB2312"/>
          <w:sz w:val="32"/>
          <w:szCs w:val="32"/>
          <w:lang w:val="en-US" w:eastAsia="zh-CN"/>
        </w:rPr>
        <w:t>235.97</w:t>
      </w:r>
      <w:r>
        <w:rPr>
          <w:rFonts w:eastAsia="仿宋_GB2312"/>
          <w:bCs/>
          <w:kern w:val="0"/>
          <w:sz w:val="32"/>
          <w:szCs w:val="32"/>
        </w:rPr>
        <w:t>万元，项目支出</w:t>
      </w:r>
      <w:r>
        <w:rPr>
          <w:rFonts w:hint="eastAsia" w:eastAsia="仿宋_GB2312"/>
          <w:sz w:val="32"/>
          <w:szCs w:val="32"/>
          <w:lang w:val="en-US" w:eastAsia="zh-CN"/>
        </w:rPr>
        <w:t>108.2</w:t>
      </w:r>
      <w:r>
        <w:rPr>
          <w:rFonts w:eastAsia="仿宋_GB2312"/>
          <w:bCs/>
          <w:kern w:val="0"/>
          <w:sz w:val="32"/>
          <w:szCs w:val="32"/>
        </w:rPr>
        <w:t>万元，具体绩效目标详见报表。</w:t>
      </w:r>
    </w:p>
    <w:p>
      <w:pPr>
        <w:widowControl/>
        <w:spacing w:line="600" w:lineRule="exact"/>
        <w:ind w:firstLine="660"/>
        <w:rPr>
          <w:rFonts w:eastAsia="黑体"/>
          <w:sz w:val="32"/>
          <w:szCs w:val="32"/>
        </w:rPr>
      </w:pPr>
      <w:r>
        <w:rPr>
          <w:rFonts w:hint="eastAsia" w:eastAsia="黑体"/>
          <w:sz w:val="32"/>
          <w:szCs w:val="32"/>
          <w:lang w:val="en-US" w:eastAsia="zh-CN"/>
        </w:rPr>
        <w:t>五</w:t>
      </w:r>
      <w:r>
        <w:rPr>
          <w:rFonts w:eastAsia="黑体"/>
          <w:sz w:val="32"/>
          <w:szCs w:val="32"/>
        </w:rPr>
        <w:t>、名词解释</w:t>
      </w:r>
    </w:p>
    <w:p>
      <w:pPr>
        <w:ind w:firstLine="470" w:firstLineChars="147"/>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rPr>
          <w:rFonts w:eastAsia="方正小标宋_GBK"/>
          <w:bCs/>
          <w:kern w:val="0"/>
          <w:sz w:val="36"/>
          <w:szCs w:val="36"/>
        </w:rPr>
      </w:pPr>
      <w:r>
        <w:rPr>
          <w:rFonts w:hint="eastAsia" w:ascii="仿宋" w:hAnsi="仿宋" w:eastAsia="仿宋" w:cs="宋体"/>
          <w:color w:val="000000"/>
          <w:kern w:val="0"/>
          <w:sz w:val="32"/>
          <w:szCs w:val="32"/>
        </w:rPr>
        <w:t>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pStyle w:val="5"/>
        <w:shd w:val="clear" w:color="auto" w:fill="FFFFFF"/>
        <w:spacing w:before="0" w:beforeAutospacing="0" w:after="0" w:afterAutospacing="0" w:line="480" w:lineRule="exact"/>
        <w:ind w:firstLine="480"/>
        <w:rPr>
          <w:rFonts w:ascii="仿宋" w:hAnsi="仿宋" w:eastAsia="仿宋"/>
          <w:b/>
          <w:color w:val="2B2B2B"/>
          <w:sz w:val="36"/>
          <w:szCs w:val="36"/>
        </w:rPr>
      </w:pPr>
      <w:bookmarkStart w:id="0" w:name="_GoBack"/>
      <w:bookmarkEnd w:id="0"/>
    </w:p>
    <w:sectPr>
      <w:pgSz w:w="11906" w:h="16838"/>
      <w:pgMar w:top="1134" w:right="1418" w:bottom="45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5M2I3ZWQxZDAwZDc4YjRlNWY3NTIzOTVjYmI5NjAifQ=="/>
  </w:docVars>
  <w:rsids>
    <w:rsidRoot w:val="00895515"/>
    <w:rsid w:val="000379FF"/>
    <w:rsid w:val="00125E72"/>
    <w:rsid w:val="00157A34"/>
    <w:rsid w:val="001F3C1F"/>
    <w:rsid w:val="00217035"/>
    <w:rsid w:val="00361F4C"/>
    <w:rsid w:val="003B4836"/>
    <w:rsid w:val="003F5D08"/>
    <w:rsid w:val="004910EC"/>
    <w:rsid w:val="005B1A32"/>
    <w:rsid w:val="005F4337"/>
    <w:rsid w:val="00635A5D"/>
    <w:rsid w:val="00742C6F"/>
    <w:rsid w:val="007C585F"/>
    <w:rsid w:val="00822F56"/>
    <w:rsid w:val="00846278"/>
    <w:rsid w:val="00857726"/>
    <w:rsid w:val="00895515"/>
    <w:rsid w:val="008A02F5"/>
    <w:rsid w:val="008C6E88"/>
    <w:rsid w:val="008F2760"/>
    <w:rsid w:val="0091281A"/>
    <w:rsid w:val="009349AA"/>
    <w:rsid w:val="00951378"/>
    <w:rsid w:val="009D5730"/>
    <w:rsid w:val="009D7955"/>
    <w:rsid w:val="009E380C"/>
    <w:rsid w:val="00B45B72"/>
    <w:rsid w:val="00B9248B"/>
    <w:rsid w:val="00C844D0"/>
    <w:rsid w:val="00CD7932"/>
    <w:rsid w:val="00DD6EBB"/>
    <w:rsid w:val="00DE0130"/>
    <w:rsid w:val="00E23072"/>
    <w:rsid w:val="00E97A8D"/>
    <w:rsid w:val="00F068A0"/>
    <w:rsid w:val="127D3F87"/>
    <w:rsid w:val="1C95705D"/>
    <w:rsid w:val="248B29E6"/>
    <w:rsid w:val="33BB6855"/>
    <w:rsid w:val="36375DCE"/>
    <w:rsid w:val="3FE020F6"/>
    <w:rsid w:val="42240501"/>
    <w:rsid w:val="44253700"/>
    <w:rsid w:val="453D7D61"/>
    <w:rsid w:val="4D2D61A6"/>
    <w:rsid w:val="516E678B"/>
    <w:rsid w:val="53754AE0"/>
    <w:rsid w:val="58B17131"/>
    <w:rsid w:val="6487141B"/>
    <w:rsid w:val="68857FF3"/>
    <w:rsid w:val="70765B1C"/>
    <w:rsid w:val="710C3707"/>
    <w:rsid w:val="77FA5285"/>
    <w:rsid w:val="7D60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8"/>
    <w:semiHidden/>
    <w:unhideWhenUsed/>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Shading Accent 2"/>
    <w:basedOn w:val="6"/>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批注框文本 Char"/>
    <w:basedOn w:val="9"/>
    <w:link w:val="2"/>
    <w:semiHidden/>
    <w:qFormat/>
    <w:uiPriority w:val="99"/>
    <w:rPr>
      <w:sz w:val="18"/>
      <w:szCs w:val="18"/>
    </w:rPr>
  </w:style>
  <w:style w:type="character" w:customStyle="1" w:styleId="14">
    <w:name w:val="页眉 Char"/>
    <w:basedOn w:val="9"/>
    <w:link w:val="4"/>
    <w:qFormat/>
    <w:uiPriority w:val="99"/>
    <w:rPr>
      <w:rFonts w:ascii="Calibri" w:hAnsi="Calibri" w:eastAsia="宋体" w:cs="Times New Roman"/>
      <w:sz w:val="18"/>
      <w:szCs w:val="18"/>
    </w:rPr>
  </w:style>
  <w:style w:type="table" w:customStyle="1" w:styleId="15">
    <w:name w:val="浅色底纹 - 强调文字颜色 11"/>
    <w:basedOn w:val="6"/>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6">
    <w:name w:val="浅色底纹1"/>
    <w:basedOn w:val="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7">
    <w:name w:val="List Paragraph"/>
    <w:basedOn w:val="1"/>
    <w:qFormat/>
    <w:uiPriority w:val="34"/>
    <w:pPr>
      <w:ind w:firstLine="420" w:firstLineChars="200"/>
    </w:pPr>
  </w:style>
  <w:style w:type="character" w:customStyle="1" w:styleId="18">
    <w:name w:val="页脚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D449D3-03BB-4B2E-8AEE-0D7DC0A0E45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1730</Characters>
  <Lines>18</Lines>
  <Paragraphs>5</Paragraphs>
  <TotalTime>19</TotalTime>
  <ScaleCrop>false</ScaleCrop>
  <LinksUpToDate>false</LinksUpToDate>
  <CharactersWithSpaces>1740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2020-08-24T07:37:00Z</dcterms:created>
  <dc:creator>Administrator</dc:creator>
  <cp:lastModifiedBy>陈璇</cp:lastModifiedBy>
  <cp:lastPrinted>2022-05-09T02:28:00Z</cp:lastPrinted>
  <dcterms:modified xsi:type="dcterms:W3CDTF">2022-05-19T02:25:09Z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6F36913062F0478892CAD422C66AD834</vt:lpwstr>
  </property>
</Properties>
</file>