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rFonts w:hint="eastAsia"/>
          <w:sz w:val="84"/>
          <w:szCs w:val="84"/>
          <w:lang w:eastAsia="zh-CN"/>
        </w:rPr>
      </w:pPr>
      <w:r>
        <w:rPr>
          <w:rFonts w:hint="eastAsia"/>
          <w:sz w:val="84"/>
          <w:szCs w:val="84"/>
          <w:lang w:eastAsia="zh-CN"/>
        </w:rPr>
        <w:t>沅江市社会保险服务中心</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rFonts w:hint="eastAsia"/>
          <w:b/>
          <w:sz w:val="36"/>
          <w:szCs w:val="28"/>
        </w:rPr>
      </w:pPr>
      <w:r>
        <w:rPr>
          <w:rFonts w:hint="eastAsia"/>
          <w:b/>
          <w:sz w:val="36"/>
          <w:szCs w:val="28"/>
        </w:rPr>
        <w:t>目录</w:t>
      </w:r>
    </w:p>
    <w:p>
      <w:pPr>
        <w:pStyle w:val="10"/>
        <w:spacing w:line="500" w:lineRule="exact"/>
        <w:jc w:val="center"/>
        <w:rPr>
          <w:rFonts w:hint="eastAsia"/>
          <w:b/>
          <w:sz w:val="36"/>
          <w:szCs w:val="28"/>
        </w:rPr>
      </w:pPr>
    </w:p>
    <w:p>
      <w:pPr>
        <w:pStyle w:val="10"/>
        <w:jc w:val="both"/>
        <w:rPr>
          <w:rFonts w:ascii="仿宋_GB2312" w:hAnsi="仿宋_GB2312" w:cs="仿宋_GB2312"/>
          <w:b/>
          <w:sz w:val="28"/>
          <w:szCs w:val="28"/>
        </w:rPr>
      </w:pPr>
      <w:r>
        <w:rPr>
          <w:rFonts w:hint="eastAsia"/>
          <w:b/>
          <w:sz w:val="28"/>
          <w:szCs w:val="28"/>
        </w:rPr>
        <w:t>第一部分</w:t>
      </w:r>
      <w:r>
        <w:rPr>
          <w:rFonts w:hint="eastAsia"/>
          <w:b/>
          <w:color w:val="000000"/>
          <w:sz w:val="28"/>
          <w:szCs w:val="28"/>
          <w:lang w:eastAsia="zh-CN"/>
        </w:rPr>
        <w:t>沅江市社会保险服务中心</w:t>
      </w:r>
      <w:r>
        <w:rPr>
          <w:rFonts w:hint="eastAsia"/>
          <w:b/>
          <w:sz w:val="28"/>
          <w:szCs w:val="28"/>
        </w:rPr>
        <w:t>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p>
    <w:p>
      <w:pPr>
        <w:pStyle w:val="10"/>
        <w:jc w:val="center"/>
        <w:rPr>
          <w:sz w:val="84"/>
          <w:szCs w:val="84"/>
        </w:rPr>
      </w:pPr>
    </w:p>
    <w:p>
      <w:pPr>
        <w:pStyle w:val="10"/>
        <w:jc w:val="center"/>
        <w:rPr>
          <w:rFonts w:hint="eastAsia"/>
          <w:sz w:val="84"/>
          <w:szCs w:val="84"/>
          <w:lang w:eastAsia="zh-CN"/>
        </w:rPr>
      </w:pPr>
      <w:r>
        <w:rPr>
          <w:rFonts w:hint="eastAsia"/>
          <w:sz w:val="84"/>
          <w:szCs w:val="84"/>
          <w:lang w:eastAsia="zh-CN"/>
        </w:rPr>
        <w:t>沅江市社会保险服务中心</w:t>
      </w:r>
    </w:p>
    <w:p>
      <w:pPr>
        <w:pStyle w:val="10"/>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1"/>
        <w:widowControl/>
        <w:shd w:val="clear" w:color="auto" w:fill="FFFFFF"/>
        <w:spacing w:before="100" w:after="100" w:line="560" w:lineRule="atLeast"/>
        <w:ind w:firstLine="848" w:firstLineChars="265"/>
        <w:jc w:val="left"/>
        <w:rPr>
          <w:rFonts w:hint="eastAsia" w:ascii="仿宋" w:hAnsi="Times New Roman" w:eastAsia="仿宋" w:cs="仿宋"/>
          <w:color w:val="000000"/>
          <w:kern w:val="0"/>
          <w:sz w:val="32"/>
          <w:szCs w:val="32"/>
        </w:rPr>
      </w:pPr>
      <w:r>
        <w:rPr>
          <w:rFonts w:hint="eastAsia" w:ascii="仿宋" w:hAnsi="Times New Roman" w:eastAsia="仿宋" w:cs="仿宋"/>
          <w:color w:val="000000"/>
          <w:kern w:val="0"/>
          <w:sz w:val="32"/>
          <w:szCs w:val="32"/>
        </w:rPr>
        <w:t>负责全市机关事业单位、企业职工、城乡居民养老保险基金以及机关事业单位职业年金的收缴、生存认证、稽核稽查等管理及养老金的发放工作。</w:t>
      </w:r>
    </w:p>
    <w:p>
      <w:pPr>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沅江市社会保险服务中心</w:t>
      </w:r>
      <w:r>
        <w:rPr>
          <w:rFonts w:hint="eastAsia" w:asciiTheme="minorEastAsia" w:hAnsiTheme="minorEastAsia"/>
          <w:bCs/>
          <w:kern w:val="0"/>
          <w:sz w:val="32"/>
          <w:szCs w:val="32"/>
        </w:rPr>
        <w:t>内设机构包括：</w:t>
      </w:r>
      <w:r>
        <w:rPr>
          <w:rFonts w:hint="eastAsia" w:ascii="仿宋" w:hAnsi="仿宋" w:eastAsia="仿宋" w:cs="宋体"/>
          <w:color w:val="000000"/>
          <w:kern w:val="0"/>
          <w:sz w:val="32"/>
          <w:szCs w:val="32"/>
        </w:rPr>
        <w:t>办公室，人事政工股，个人账户管理股，征缴股，待遇核定股，待遇支付股，职业年金管理股，稽核股，信息统计股，档案管理股</w:t>
      </w:r>
      <w:r>
        <w:rPr>
          <w:rFonts w:hint="eastAsia" w:ascii="仿宋" w:hAnsi="仿宋" w:eastAsia="仿宋" w:cs="宋体"/>
          <w:color w:val="000000"/>
          <w:kern w:val="0"/>
          <w:sz w:val="32"/>
          <w:szCs w:val="32"/>
          <w:lang w:eastAsia="zh-CN"/>
        </w:rPr>
        <w:t>共计</w:t>
      </w:r>
      <w:r>
        <w:rPr>
          <w:rFonts w:hint="eastAsia" w:ascii="仿宋" w:hAnsi="仿宋" w:eastAsia="仿宋" w:cs="宋体"/>
          <w:color w:val="000000"/>
          <w:kern w:val="0"/>
          <w:sz w:val="32"/>
          <w:szCs w:val="32"/>
          <w:lang w:val="en-US" w:eastAsia="zh-CN"/>
        </w:rPr>
        <w:t>11个股室</w:t>
      </w:r>
      <w:r>
        <w:rPr>
          <w:rFonts w:hint="eastAsia" w:ascii="仿宋" w:hAnsi="仿宋" w:eastAsia="仿宋" w:cs="宋体"/>
          <w:color w:val="000000"/>
          <w:kern w:val="0"/>
          <w:sz w:val="32"/>
          <w:szCs w:val="32"/>
        </w:rPr>
        <w:t>。</w:t>
      </w:r>
    </w:p>
    <w:p>
      <w:pPr>
        <w:jc w:val="left"/>
        <w:rPr>
          <w:rFonts w:ascii="黑体" w:hAnsi="黑体" w:eastAsia="黑体"/>
          <w:sz w:val="28"/>
          <w:szCs w:val="28"/>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沅江市社会保险服务中心</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w:t>
      </w:r>
      <w:r>
        <w:rPr>
          <w:rFonts w:hint="eastAsia" w:ascii="仿宋" w:hAnsi="仿宋" w:eastAsia="仿宋" w:cs="宋体"/>
          <w:color w:val="000000"/>
          <w:kern w:val="0"/>
          <w:sz w:val="32"/>
          <w:szCs w:val="32"/>
          <w:lang w:eastAsia="zh-CN"/>
        </w:rPr>
        <w:t>沅江市社会保险服务中心</w:t>
      </w:r>
      <w:r>
        <w:rPr>
          <w:rFonts w:hint="eastAsia" w:ascii="仿宋" w:hAnsi="仿宋" w:eastAsia="仿宋" w:cs="宋体"/>
          <w:color w:val="000000"/>
          <w:kern w:val="0"/>
          <w:sz w:val="32"/>
          <w:szCs w:val="32"/>
        </w:rPr>
        <w:t>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588.81</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585.96</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47.44</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 xml:space="preserve">                         30.80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636.25</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616.76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76.50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95.99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b/>
                <w:bCs/>
                <w:kern w:val="0"/>
                <w:sz w:val="22"/>
                <w:lang w:val="en-US" w:eastAsia="zh-CN"/>
              </w:rPr>
              <w:t>712.75</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712.75</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4764" w:type="dxa"/>
        <w:tblInd w:w="0" w:type="dxa"/>
        <w:tblLayout w:type="autofit"/>
        <w:tblCellMar>
          <w:top w:w="0" w:type="dxa"/>
          <w:left w:w="0" w:type="dxa"/>
          <w:bottom w:w="0" w:type="dxa"/>
          <w:right w:w="0" w:type="dxa"/>
        </w:tblCellMar>
      </w:tblPr>
      <w:tblGrid>
        <w:gridCol w:w="539"/>
        <w:gridCol w:w="447"/>
        <w:gridCol w:w="1306"/>
        <w:gridCol w:w="1914"/>
        <w:gridCol w:w="1914"/>
        <w:gridCol w:w="1595"/>
        <w:gridCol w:w="1595"/>
        <w:gridCol w:w="1595"/>
        <w:gridCol w:w="1595"/>
        <w:gridCol w:w="2264"/>
      </w:tblGrid>
      <w:tr>
        <w:tblPrEx>
          <w:tblCellMar>
            <w:top w:w="0" w:type="dxa"/>
            <w:left w:w="0" w:type="dxa"/>
            <w:bottom w:w="0" w:type="dxa"/>
            <w:right w:w="0" w:type="dxa"/>
          </w:tblCellMar>
        </w:tblPrEx>
        <w:trPr>
          <w:trHeight w:val="435" w:hRule="atLeast"/>
        </w:trPr>
        <w:tc>
          <w:tcPr>
            <w:tcW w:w="14764"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53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98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3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5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29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项目</w:t>
            </w:r>
          </w:p>
        </w:tc>
        <w:tc>
          <w:tcPr>
            <w:tcW w:w="191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9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2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8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0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9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8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0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9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9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9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5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5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5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5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2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29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9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636.25</w:t>
            </w:r>
            <w:r>
              <w:rPr>
                <w:rFonts w:hint="eastAsia"/>
              </w:rPr>
              <w:t>　</w:t>
            </w:r>
          </w:p>
        </w:tc>
        <w:tc>
          <w:tcPr>
            <w:tcW w:w="19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588.81</w:t>
            </w: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47.44</w:t>
            </w:r>
            <w:r>
              <w:rPr>
                <w:rFonts w:hint="eastAsia"/>
              </w:rPr>
              <w:t>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w:t>
            </w:r>
          </w:p>
        </w:tc>
        <w:tc>
          <w:tcPr>
            <w:tcW w:w="13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社会保障和就业支出</w:t>
            </w:r>
          </w:p>
        </w:tc>
        <w:tc>
          <w:tcPr>
            <w:tcW w:w="19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605.45</w:t>
            </w:r>
            <w:r>
              <w:rPr>
                <w:rFonts w:hint="eastAsia"/>
              </w:rPr>
              <w:t>　</w:t>
            </w:r>
          </w:p>
        </w:tc>
        <w:tc>
          <w:tcPr>
            <w:tcW w:w="19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558.01</w:t>
            </w: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47.44</w:t>
            </w:r>
            <w:r>
              <w:rPr>
                <w:rFonts w:hint="eastAsia"/>
              </w:rPr>
              <w:t>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rPr>
              <w:t>　</w:t>
            </w:r>
            <w:r>
              <w:rPr>
                <w:rFonts w:hint="eastAsia"/>
                <w:lang w:val="en-US" w:eastAsia="zh-CN"/>
              </w:rPr>
              <w:t>20801</w:t>
            </w:r>
          </w:p>
        </w:tc>
        <w:tc>
          <w:tcPr>
            <w:tcW w:w="13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人力资源和社会保障管理事务</w:t>
            </w:r>
          </w:p>
        </w:tc>
        <w:tc>
          <w:tcPr>
            <w:tcW w:w="19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605.45</w:t>
            </w:r>
            <w:r>
              <w:rPr>
                <w:rFonts w:hint="eastAsia" w:ascii="华文中宋" w:hAnsi="华文中宋" w:eastAsia="华文中宋"/>
              </w:rPr>
              <w:t>　</w:t>
            </w:r>
          </w:p>
        </w:tc>
        <w:tc>
          <w:tcPr>
            <w:tcW w:w="19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558.01</w:t>
            </w: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47.44</w:t>
            </w:r>
            <w:r>
              <w:rPr>
                <w:rFonts w:hint="eastAsia"/>
              </w:rPr>
              <w:t>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2080101</w:t>
            </w:r>
          </w:p>
        </w:tc>
        <w:tc>
          <w:tcPr>
            <w:tcW w:w="13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行政运行</w:t>
            </w:r>
          </w:p>
        </w:tc>
        <w:tc>
          <w:tcPr>
            <w:tcW w:w="19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430.39</w:t>
            </w:r>
            <w:r>
              <w:rPr>
                <w:rFonts w:hint="eastAsia"/>
              </w:rPr>
              <w:t>　</w:t>
            </w:r>
          </w:p>
        </w:tc>
        <w:tc>
          <w:tcPr>
            <w:tcW w:w="19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382.95</w:t>
            </w: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47.44</w:t>
            </w:r>
            <w:r>
              <w:rPr>
                <w:rFonts w:hint="eastAsia"/>
              </w:rPr>
              <w:t>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2080109</w:t>
            </w:r>
          </w:p>
        </w:tc>
        <w:tc>
          <w:tcPr>
            <w:tcW w:w="13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社会保险经办机构</w:t>
            </w:r>
          </w:p>
        </w:tc>
        <w:tc>
          <w:tcPr>
            <w:tcW w:w="19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175.06</w:t>
            </w:r>
            <w:r>
              <w:rPr>
                <w:rFonts w:hint="eastAsia"/>
              </w:rPr>
              <w:t>　</w:t>
            </w:r>
          </w:p>
        </w:tc>
        <w:tc>
          <w:tcPr>
            <w:tcW w:w="19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175.06</w:t>
            </w: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221</w:t>
            </w:r>
          </w:p>
        </w:tc>
        <w:tc>
          <w:tcPr>
            <w:tcW w:w="13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住房保障支出</w:t>
            </w:r>
          </w:p>
        </w:tc>
        <w:tc>
          <w:tcPr>
            <w:tcW w:w="19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30.80</w:t>
            </w:r>
            <w:r>
              <w:rPr>
                <w:rFonts w:hint="eastAsia"/>
              </w:rPr>
              <w:t>　</w:t>
            </w:r>
          </w:p>
        </w:tc>
        <w:tc>
          <w:tcPr>
            <w:tcW w:w="19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30.80</w:t>
            </w: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22102</w:t>
            </w:r>
          </w:p>
        </w:tc>
        <w:tc>
          <w:tcPr>
            <w:tcW w:w="13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住房改革支出</w:t>
            </w:r>
          </w:p>
        </w:tc>
        <w:tc>
          <w:tcPr>
            <w:tcW w:w="19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30.80</w:t>
            </w:r>
            <w:r>
              <w:rPr>
                <w:rFonts w:hint="eastAsia"/>
              </w:rPr>
              <w:t>　</w:t>
            </w:r>
          </w:p>
        </w:tc>
        <w:tc>
          <w:tcPr>
            <w:tcW w:w="19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30.80</w:t>
            </w: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default" w:eastAsiaTheme="minorEastAsia"/>
                <w:lang w:val="en-US" w:eastAsia="zh-CN"/>
              </w:rPr>
            </w:pPr>
            <w:r>
              <w:rPr>
                <w:rFonts w:hint="eastAsia"/>
                <w:lang w:val="en-US" w:eastAsia="zh-CN"/>
              </w:rPr>
              <w:t>2210201</w:t>
            </w:r>
          </w:p>
        </w:tc>
        <w:tc>
          <w:tcPr>
            <w:tcW w:w="13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住房公积金</w:t>
            </w:r>
          </w:p>
        </w:tc>
        <w:tc>
          <w:tcPr>
            <w:tcW w:w="19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30.80</w:t>
            </w:r>
          </w:p>
        </w:tc>
        <w:tc>
          <w:tcPr>
            <w:tcW w:w="19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30.80</w:t>
            </w: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4764"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3183" w:type="dxa"/>
        <w:tblInd w:w="93" w:type="dxa"/>
        <w:tblLayout w:type="fixed"/>
        <w:tblCellMar>
          <w:top w:w="0" w:type="dxa"/>
          <w:left w:w="108" w:type="dxa"/>
          <w:bottom w:w="0" w:type="dxa"/>
          <w:right w:w="108" w:type="dxa"/>
        </w:tblCellMar>
      </w:tblPr>
      <w:tblGrid>
        <w:gridCol w:w="1042"/>
        <w:gridCol w:w="222"/>
        <w:gridCol w:w="1736"/>
        <w:gridCol w:w="1159"/>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00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1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73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00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1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00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5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616.76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508.67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108.09</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w:t>
            </w:r>
          </w:p>
        </w:tc>
        <w:tc>
          <w:tcPr>
            <w:tcW w:w="1736"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社会保障和就业支出</w:t>
            </w:r>
          </w:p>
        </w:tc>
        <w:tc>
          <w:tcPr>
            <w:tcW w:w="11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585.96</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477.87</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108.09</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20801</w:t>
            </w:r>
          </w:p>
        </w:tc>
        <w:tc>
          <w:tcPr>
            <w:tcW w:w="1736"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人力资源和社会保障管理事务</w:t>
            </w:r>
          </w:p>
        </w:tc>
        <w:tc>
          <w:tcPr>
            <w:tcW w:w="11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585.96</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477.87</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108.09</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2080101</w:t>
            </w:r>
          </w:p>
        </w:tc>
        <w:tc>
          <w:tcPr>
            <w:tcW w:w="1736"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行政运行</w:t>
            </w:r>
          </w:p>
        </w:tc>
        <w:tc>
          <w:tcPr>
            <w:tcW w:w="11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477.87</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477.87</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2080109</w:t>
            </w:r>
          </w:p>
        </w:tc>
        <w:tc>
          <w:tcPr>
            <w:tcW w:w="1736"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社会保险经办机构</w:t>
            </w:r>
          </w:p>
        </w:tc>
        <w:tc>
          <w:tcPr>
            <w:tcW w:w="11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108.09</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108.09</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221</w:t>
            </w:r>
          </w:p>
        </w:tc>
        <w:tc>
          <w:tcPr>
            <w:tcW w:w="1736"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住房保障支出</w:t>
            </w:r>
          </w:p>
        </w:tc>
        <w:tc>
          <w:tcPr>
            <w:tcW w:w="11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30.8</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30.8</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22102</w:t>
            </w:r>
          </w:p>
        </w:tc>
        <w:tc>
          <w:tcPr>
            <w:tcW w:w="1736"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住房改革支出</w:t>
            </w:r>
          </w:p>
        </w:tc>
        <w:tc>
          <w:tcPr>
            <w:tcW w:w="11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30.8</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30.8</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2210201</w:t>
            </w:r>
          </w:p>
        </w:tc>
        <w:tc>
          <w:tcPr>
            <w:tcW w:w="1736"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住房公积金</w:t>
            </w:r>
          </w:p>
        </w:tc>
        <w:tc>
          <w:tcPr>
            <w:tcW w:w="115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588.81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538.52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538.52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30.8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30.8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588.81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569.32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569.32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76.50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95.99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95.99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76.50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665.31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665.31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665.31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单位：万元</w:t>
      </w:r>
    </w:p>
    <w:tbl>
      <w:tblPr>
        <w:tblStyle w:val="6"/>
        <w:tblW w:w="14219" w:type="dxa"/>
        <w:jc w:val="center"/>
        <w:tblLayout w:type="autofit"/>
        <w:tblCellMar>
          <w:top w:w="0" w:type="dxa"/>
          <w:left w:w="108" w:type="dxa"/>
          <w:bottom w:w="0" w:type="dxa"/>
          <w:right w:w="108" w:type="dxa"/>
        </w:tblCellMar>
      </w:tblPr>
      <w:tblGrid>
        <w:gridCol w:w="1785"/>
        <w:gridCol w:w="2942"/>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785"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29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785"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4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785"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4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76.50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47.49</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29.01</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78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w:t>
            </w:r>
          </w:p>
        </w:tc>
        <w:tc>
          <w:tcPr>
            <w:tcW w:w="294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76.50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47.49</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29.01</w:t>
            </w:r>
          </w:p>
        </w:tc>
      </w:tr>
      <w:tr>
        <w:tblPrEx>
          <w:tblCellMar>
            <w:top w:w="0" w:type="dxa"/>
            <w:left w:w="108" w:type="dxa"/>
            <w:bottom w:w="0" w:type="dxa"/>
            <w:right w:w="108" w:type="dxa"/>
          </w:tblCellMar>
        </w:tblPrEx>
        <w:trPr>
          <w:trHeight w:val="450" w:hRule="atLeast"/>
          <w:jc w:val="center"/>
        </w:trPr>
        <w:tc>
          <w:tcPr>
            <w:tcW w:w="178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20801</w:t>
            </w:r>
          </w:p>
        </w:tc>
        <w:tc>
          <w:tcPr>
            <w:tcW w:w="294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人力资源和社会保障管理事务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76.50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47.49</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29.01</w:t>
            </w:r>
          </w:p>
        </w:tc>
      </w:tr>
      <w:tr>
        <w:tblPrEx>
          <w:tblCellMar>
            <w:top w:w="0" w:type="dxa"/>
            <w:left w:w="108" w:type="dxa"/>
            <w:bottom w:w="0" w:type="dxa"/>
            <w:right w:w="108" w:type="dxa"/>
          </w:tblCellMar>
        </w:tblPrEx>
        <w:trPr>
          <w:trHeight w:val="450" w:hRule="atLeast"/>
          <w:jc w:val="center"/>
        </w:trPr>
        <w:tc>
          <w:tcPr>
            <w:tcW w:w="178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2080101</w:t>
            </w:r>
          </w:p>
        </w:tc>
        <w:tc>
          <w:tcPr>
            <w:tcW w:w="294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47.49</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47.49</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78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2080109</w:t>
            </w:r>
          </w:p>
        </w:tc>
        <w:tc>
          <w:tcPr>
            <w:tcW w:w="294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社会保险经办机构</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29.01</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29.01</w:t>
            </w:r>
          </w:p>
        </w:tc>
      </w:tr>
      <w:tr>
        <w:tblPrEx>
          <w:tblCellMar>
            <w:top w:w="0" w:type="dxa"/>
            <w:left w:w="108" w:type="dxa"/>
            <w:bottom w:w="0" w:type="dxa"/>
            <w:right w:w="108" w:type="dxa"/>
          </w:tblCellMar>
        </w:tblPrEx>
        <w:trPr>
          <w:trHeight w:val="450" w:hRule="atLeast"/>
          <w:jc w:val="center"/>
        </w:trPr>
        <w:tc>
          <w:tcPr>
            <w:tcW w:w="178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221</w:t>
            </w:r>
          </w:p>
        </w:tc>
        <w:tc>
          <w:tcPr>
            <w:tcW w:w="294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住房保障支出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785"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22102</w:t>
            </w:r>
          </w:p>
        </w:tc>
        <w:tc>
          <w:tcPr>
            <w:tcW w:w="2942"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住房改革支出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785"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2210201</w:t>
            </w:r>
          </w:p>
        </w:tc>
        <w:tc>
          <w:tcPr>
            <w:tcW w:w="2942"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住房公积金</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fixed"/>
        <w:tblCellMar>
          <w:top w:w="0" w:type="dxa"/>
          <w:left w:w="108" w:type="dxa"/>
          <w:bottom w:w="0" w:type="dxa"/>
          <w:right w:w="108" w:type="dxa"/>
        </w:tblCellMar>
      </w:tblPr>
      <w:tblGrid>
        <w:gridCol w:w="973"/>
        <w:gridCol w:w="2432"/>
        <w:gridCol w:w="1558"/>
        <w:gridCol w:w="1072"/>
        <w:gridCol w:w="2835"/>
        <w:gridCol w:w="866"/>
        <w:gridCol w:w="935"/>
        <w:gridCol w:w="2922"/>
        <w:gridCol w:w="1273"/>
      </w:tblGrid>
      <w:tr>
        <w:tblPrEx>
          <w:tblCellMar>
            <w:top w:w="0" w:type="dxa"/>
            <w:left w:w="108" w:type="dxa"/>
            <w:bottom w:w="0" w:type="dxa"/>
            <w:right w:w="108" w:type="dxa"/>
          </w:tblCellMar>
        </w:tblPrEx>
        <w:trPr>
          <w:trHeight w:val="113" w:hRule="atLeast"/>
        </w:trPr>
        <w:tc>
          <w:tcPr>
            <w:tcW w:w="14866"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4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407.06</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54.17</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54.154.17</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168.21</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0.47</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96.57</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0.02</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14.85</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52.73</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0.61</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23.48</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9.36</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0.73</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41.86</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0.08</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0.13</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0.55</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0.08</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407.06</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30.70</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11.10</w:t>
            </w:r>
            <w:r>
              <w:rPr>
                <w:rFonts w:hint="eastAsia" w:ascii="宋体" w:hAnsi="宋体" w:eastAsia="宋体" w:cs="宋体"/>
                <w:color w:val="000000"/>
                <w:kern w:val="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4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9.70</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9.709.9.9999.79.70</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34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55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407.06</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407.064040740407.06</w:t>
            </w:r>
          </w:p>
        </w:tc>
        <w:tc>
          <w:tcPr>
            <w:tcW w:w="863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54.17</w:t>
            </w:r>
            <w:r>
              <w:rPr>
                <w:rFonts w:hint="eastAsia" w:ascii="宋体" w:hAnsi="宋体" w:eastAsia="宋体" w:cs="宋体"/>
                <w:color w:val="000000"/>
                <w:kern w:val="0"/>
                <w:szCs w:val="18"/>
              </w:rPr>
              <w:t>　</w:t>
            </w:r>
            <w:r>
              <w:rPr>
                <w:rFonts w:hint="eastAsia" w:ascii="宋体" w:hAnsi="宋体" w:eastAsia="宋体" w:cs="宋体"/>
                <w:color w:val="000000"/>
                <w:kern w:val="0"/>
                <w:szCs w:val="20"/>
                <w:lang w:val="en-US" w:eastAsia="zh-CN"/>
              </w:rPr>
              <w:t>54.1754.1754.1754.1754.1754.17</w:t>
            </w:r>
            <w:r>
              <w:rPr>
                <w:rFonts w:hint="eastAsia" w:ascii="宋体" w:hAnsi="宋体" w:eastAsia="宋体" w:cs="宋体"/>
                <w:color w:val="000000"/>
                <w:kern w:val="0"/>
                <w:szCs w:val="18"/>
                <w:lang w:val="en-US" w:eastAsia="zh-CN"/>
              </w:rPr>
              <w:t>54.1754.54.17</w:t>
            </w:r>
          </w:p>
        </w:tc>
      </w:tr>
      <w:tr>
        <w:tblPrEx>
          <w:tblCellMar>
            <w:top w:w="0" w:type="dxa"/>
            <w:left w:w="108" w:type="dxa"/>
            <w:bottom w:w="0" w:type="dxa"/>
            <w:right w:w="108" w:type="dxa"/>
          </w:tblCellMar>
        </w:tblPrEx>
        <w:trPr>
          <w:trHeight w:val="284" w:hRule="exact"/>
        </w:trPr>
        <w:tc>
          <w:tcPr>
            <w:tcW w:w="14866"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6.1</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6.1</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0.49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0.49</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0.55</w:t>
            </w:r>
            <w:r>
              <w:rPr>
                <w:rFonts w:ascii="Times New Roman" w:hAnsi="Times New Roman" w:eastAsia="仿宋_GB2312" w:cs="Times New Roman"/>
                <w:kern w:val="0"/>
                <w:szCs w:val="21"/>
              </w:rPr>
              <w:t>　</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both"/>
              <w:rPr>
                <w:rFonts w:hint="default"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2020年度收</w:t>
      </w:r>
      <w:r>
        <w:rPr>
          <w:rFonts w:hint="eastAsia" w:asciiTheme="minorEastAsia" w:hAnsiTheme="minorEastAsia" w:eastAsiaTheme="minorEastAsia"/>
          <w:sz w:val="32"/>
          <w:szCs w:val="32"/>
          <w:lang w:eastAsia="zh-CN"/>
        </w:rPr>
        <w:t>入</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636.25</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153.71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31.23</w:t>
      </w:r>
      <w:r>
        <w:rPr>
          <w:rFonts w:hint="eastAsia" w:asciiTheme="minorEastAsia" w:hAnsiTheme="minorEastAsia" w:eastAsiaTheme="minorEastAsia"/>
          <w:sz w:val="32"/>
          <w:szCs w:val="32"/>
        </w:rPr>
        <w:t>%，主要是因为根据《中共沅江市委 沅江市人民政府关于印发&lt;沅江市机构改改革方案&gt;的通知》（沅发【2019】5号），原沅江市社会劳动保险所、沅江市机关事业单位社会保险所、沅江市城乡居民社会养老保险所三所合并为沅江市社会保险服务中心</w:t>
      </w:r>
      <w:r>
        <w:rPr>
          <w:rFonts w:hint="eastAsia" w:asciiTheme="minorEastAsia" w:hAnsiTheme="minorEastAsia" w:eastAsiaTheme="minorEastAsia"/>
          <w:sz w:val="32"/>
          <w:szCs w:val="32"/>
          <w:lang w:eastAsia="zh-CN"/>
        </w:rPr>
        <w:t>，于</w:t>
      </w:r>
      <w:r>
        <w:rPr>
          <w:rFonts w:hint="eastAsia" w:asciiTheme="minorEastAsia" w:hAnsiTheme="minorEastAsia" w:eastAsiaTheme="minorEastAsia"/>
          <w:sz w:val="32"/>
          <w:szCs w:val="32"/>
          <w:lang w:val="en-US" w:eastAsia="zh-CN"/>
        </w:rPr>
        <w:t>2019年6月进行</w:t>
      </w:r>
      <w:r>
        <w:rPr>
          <w:rFonts w:hint="eastAsia" w:asciiTheme="minorEastAsia" w:hAnsiTheme="minorEastAsia" w:eastAsiaTheme="minorEastAsia"/>
          <w:sz w:val="32"/>
          <w:szCs w:val="32"/>
        </w:rPr>
        <w:t>机构撤并,</w:t>
      </w:r>
      <w:r>
        <w:rPr>
          <w:rFonts w:hint="eastAsia" w:asciiTheme="minorEastAsia" w:hAnsiTheme="minorEastAsia" w:eastAsiaTheme="minorEastAsia"/>
          <w:sz w:val="32"/>
          <w:szCs w:val="32"/>
          <w:lang w:val="en-US" w:eastAsia="zh-CN"/>
        </w:rPr>
        <w:t>2019年1-5月各自单位核算，数据不具类比性。</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616.76</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211.15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52.06</w:t>
      </w:r>
      <w:r>
        <w:rPr>
          <w:rFonts w:hint="eastAsia" w:asciiTheme="minorEastAsia" w:hAnsiTheme="minorEastAsia" w:eastAsiaTheme="minorEastAsia"/>
          <w:sz w:val="32"/>
          <w:szCs w:val="32"/>
        </w:rPr>
        <w:t>%，主要是因为根据《中共沅江市委 沅江市人民政府关于印发&lt;沅江市机构改改革方案&gt;的通知》（沅发【2019】5号），原沅江市社会劳动保险所、沅江市机关事业单位社会保险所、沅江市城乡居民社会养老保险所三所合并为沅江市社会保险服务中心</w:t>
      </w:r>
      <w:r>
        <w:rPr>
          <w:rFonts w:hint="eastAsia" w:asciiTheme="minorEastAsia" w:hAnsiTheme="minorEastAsia" w:eastAsiaTheme="minorEastAsia"/>
          <w:sz w:val="32"/>
          <w:szCs w:val="32"/>
          <w:lang w:eastAsia="zh-CN"/>
        </w:rPr>
        <w:t>，于</w:t>
      </w:r>
      <w:r>
        <w:rPr>
          <w:rFonts w:hint="eastAsia" w:asciiTheme="minorEastAsia" w:hAnsiTheme="minorEastAsia" w:eastAsiaTheme="minorEastAsia"/>
          <w:sz w:val="32"/>
          <w:szCs w:val="32"/>
          <w:lang w:val="en-US" w:eastAsia="zh-CN"/>
        </w:rPr>
        <w:t>2019年6月进行</w:t>
      </w:r>
      <w:r>
        <w:rPr>
          <w:rFonts w:hint="eastAsia" w:asciiTheme="minorEastAsia" w:hAnsiTheme="minorEastAsia" w:eastAsiaTheme="minorEastAsia"/>
          <w:sz w:val="32"/>
          <w:szCs w:val="32"/>
        </w:rPr>
        <w:t>机构撤并,</w:t>
      </w:r>
      <w:r>
        <w:rPr>
          <w:rFonts w:hint="eastAsia" w:asciiTheme="minorEastAsia" w:hAnsiTheme="minorEastAsia" w:eastAsiaTheme="minorEastAsia"/>
          <w:sz w:val="32"/>
          <w:szCs w:val="32"/>
          <w:lang w:val="en-US" w:eastAsia="zh-CN"/>
        </w:rPr>
        <w:t>2019年1-5月各自单位核算，数据不具类比性。</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636.25</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588.81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92.54</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47.44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7.46%</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616.76</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508.67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82.47</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108.09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17.53</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2020年度财政拨款收</w:t>
      </w:r>
      <w:r>
        <w:rPr>
          <w:rFonts w:hint="eastAsia" w:asciiTheme="minorEastAsia" w:hAnsiTheme="minorEastAsia" w:eastAsiaTheme="minorEastAsia"/>
          <w:sz w:val="32"/>
          <w:szCs w:val="32"/>
          <w:lang w:eastAsia="zh-CN"/>
        </w:rPr>
        <w:t>入</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588.81</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114.69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24.19%</w:t>
      </w:r>
      <w:r>
        <w:rPr>
          <w:rFonts w:hint="eastAsia" w:asciiTheme="minorEastAsia" w:hAnsiTheme="minorEastAsia" w:eastAsiaTheme="minorEastAsia"/>
          <w:sz w:val="32"/>
          <w:szCs w:val="32"/>
        </w:rPr>
        <w:t>，主要是因为根据《中共沅江市委 沅江市人民政府关于印发&lt;沅江市机构改改革方案&gt;的通知》（沅发【2019】5号），原沅江市社会劳动保险所、沅江市机关事业单位社会保险所、沅江市城乡居民社会养老保险所三所合并为沅江市社会保险服务中心</w:t>
      </w:r>
      <w:r>
        <w:rPr>
          <w:rFonts w:hint="eastAsia" w:asciiTheme="minorEastAsia" w:hAnsiTheme="minorEastAsia" w:eastAsiaTheme="minorEastAsia"/>
          <w:sz w:val="32"/>
          <w:szCs w:val="32"/>
          <w:lang w:eastAsia="zh-CN"/>
        </w:rPr>
        <w:t>，于</w:t>
      </w:r>
      <w:r>
        <w:rPr>
          <w:rFonts w:hint="eastAsia" w:asciiTheme="minorEastAsia" w:hAnsiTheme="minorEastAsia" w:eastAsiaTheme="minorEastAsia"/>
          <w:sz w:val="32"/>
          <w:szCs w:val="32"/>
          <w:lang w:val="en-US" w:eastAsia="zh-CN"/>
        </w:rPr>
        <w:t>2019年6月进行</w:t>
      </w:r>
      <w:r>
        <w:rPr>
          <w:rFonts w:hint="eastAsia" w:asciiTheme="minorEastAsia" w:hAnsiTheme="minorEastAsia" w:eastAsiaTheme="minorEastAsia"/>
          <w:sz w:val="32"/>
          <w:szCs w:val="32"/>
        </w:rPr>
        <w:t>机构撤并,</w:t>
      </w:r>
      <w:r>
        <w:rPr>
          <w:rFonts w:hint="eastAsia" w:asciiTheme="minorEastAsia" w:hAnsiTheme="minorEastAsia" w:eastAsiaTheme="minorEastAsia"/>
          <w:sz w:val="32"/>
          <w:szCs w:val="32"/>
          <w:lang w:val="en-US" w:eastAsia="zh-CN"/>
        </w:rPr>
        <w:t>2019年1-5月各自单位核算，数据不具类比性。</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616.76</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219.58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55.28</w:t>
      </w:r>
      <w:r>
        <w:rPr>
          <w:rFonts w:hint="eastAsia" w:asciiTheme="minorEastAsia" w:hAnsiTheme="minorEastAsia" w:eastAsiaTheme="minorEastAsia"/>
          <w:sz w:val="32"/>
          <w:szCs w:val="32"/>
        </w:rPr>
        <w:t>%，主要是因为根据《中共沅江市委 沅江市人民政府关于印发&lt;沅江市机构改改革方案&gt;的通知》（沅发【2019】5号），原沅江市社会劳动保险所、沅江市机关事业单位社会保险所、沅江市城乡居民社会养老保险所三所合并为沅江市社会保险服务中心</w:t>
      </w:r>
      <w:r>
        <w:rPr>
          <w:rFonts w:hint="eastAsia" w:asciiTheme="minorEastAsia" w:hAnsiTheme="minorEastAsia" w:eastAsiaTheme="minorEastAsia"/>
          <w:sz w:val="32"/>
          <w:szCs w:val="32"/>
          <w:lang w:eastAsia="zh-CN"/>
        </w:rPr>
        <w:t>，于</w:t>
      </w:r>
      <w:r>
        <w:rPr>
          <w:rFonts w:hint="eastAsia" w:asciiTheme="minorEastAsia" w:hAnsiTheme="minorEastAsia" w:eastAsiaTheme="minorEastAsia"/>
          <w:sz w:val="32"/>
          <w:szCs w:val="32"/>
          <w:lang w:val="en-US" w:eastAsia="zh-CN"/>
        </w:rPr>
        <w:t>2019年6月进行</w:t>
      </w:r>
      <w:r>
        <w:rPr>
          <w:rFonts w:hint="eastAsia" w:asciiTheme="minorEastAsia" w:hAnsiTheme="minorEastAsia" w:eastAsiaTheme="minorEastAsia"/>
          <w:sz w:val="32"/>
          <w:szCs w:val="32"/>
        </w:rPr>
        <w:t>机构撤并,</w:t>
      </w:r>
      <w:r>
        <w:rPr>
          <w:rFonts w:hint="eastAsia" w:asciiTheme="minorEastAsia" w:hAnsiTheme="minorEastAsia" w:eastAsiaTheme="minorEastAsia"/>
          <w:sz w:val="32"/>
          <w:szCs w:val="32"/>
          <w:lang w:val="en-US" w:eastAsia="zh-CN"/>
        </w:rPr>
        <w:t>2019年1-5月各自单位核算，数据不具类比性。</w:t>
      </w:r>
    </w:p>
    <w:p>
      <w:pPr>
        <w:pStyle w:val="10"/>
        <w:ind w:firstLine="640"/>
        <w:rPr>
          <w:rFonts w:hint="eastAsia"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616.76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219.58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55.28</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因为</w:t>
      </w:r>
      <w:r>
        <w:rPr>
          <w:rFonts w:hint="eastAsia" w:asciiTheme="minorEastAsia" w:hAnsiTheme="minorEastAsia" w:eastAsiaTheme="minorEastAsia"/>
          <w:sz w:val="32"/>
          <w:szCs w:val="32"/>
        </w:rPr>
        <w:t>根据《中共沅江市委 沅江市人民政府关于印发&lt;沅江市机构改改革方案&gt;的通知》（沅发【2019】5号），原沅江市社会劳动保险所、沅江市机关事业单位社会保险所、沅江市城乡居民社会养老保险所三所合并为沅江市社会保险服务中心</w:t>
      </w:r>
      <w:r>
        <w:rPr>
          <w:rFonts w:hint="eastAsia" w:asciiTheme="minorEastAsia" w:hAnsiTheme="minorEastAsia" w:eastAsiaTheme="minorEastAsia"/>
          <w:sz w:val="32"/>
          <w:szCs w:val="32"/>
          <w:lang w:eastAsia="zh-CN"/>
        </w:rPr>
        <w:t>，于</w:t>
      </w:r>
      <w:r>
        <w:rPr>
          <w:rFonts w:hint="eastAsia" w:asciiTheme="minorEastAsia" w:hAnsiTheme="minorEastAsia" w:eastAsiaTheme="minorEastAsia"/>
          <w:sz w:val="32"/>
          <w:szCs w:val="32"/>
          <w:lang w:val="en-US" w:eastAsia="zh-CN"/>
        </w:rPr>
        <w:t>2019年6月进行</w:t>
      </w:r>
      <w:r>
        <w:rPr>
          <w:rFonts w:hint="eastAsia" w:asciiTheme="minorEastAsia" w:hAnsiTheme="minorEastAsia" w:eastAsiaTheme="minorEastAsia"/>
          <w:sz w:val="32"/>
          <w:szCs w:val="32"/>
        </w:rPr>
        <w:t>机构撤并,</w:t>
      </w:r>
      <w:r>
        <w:rPr>
          <w:rFonts w:hint="eastAsia" w:asciiTheme="minorEastAsia" w:hAnsiTheme="minorEastAsia" w:eastAsiaTheme="minorEastAsia"/>
          <w:sz w:val="32"/>
          <w:szCs w:val="32"/>
          <w:lang w:val="en-US" w:eastAsia="zh-CN"/>
        </w:rPr>
        <w:t>2019年1-5月各自单位核算，数据不具类比性。</w:t>
      </w:r>
    </w:p>
    <w:p>
      <w:pPr>
        <w:pStyle w:val="10"/>
        <w:ind w:firstLine="800" w:firstLineChars="250"/>
        <w:rPr>
          <w:rFonts w:asciiTheme="minorEastAsia" w:hAnsiTheme="minorEastAsia" w:eastAsiaTheme="minorEastAsia"/>
          <w:sz w:val="32"/>
          <w:szCs w:val="32"/>
        </w:rPr>
      </w:pP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616.76</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461.23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74.78</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587.18</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461.23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78.55</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587.18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461.23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78.55</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highlight w:val="none"/>
          <w:lang w:val="en-US" w:eastAsia="zh-CN"/>
        </w:rPr>
        <w:t>2020年稽核力度加大，工资调支等日常开支增加。</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461.23</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407.06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88.26</w:t>
      </w:r>
      <w:r>
        <w:rPr>
          <w:rFonts w:hint="eastAsia" w:asciiTheme="minorEastAsia" w:hAnsiTheme="minorEastAsia" w:eastAsiaTheme="minorEastAsia"/>
          <w:sz w:val="32"/>
          <w:szCs w:val="32"/>
        </w:rPr>
        <w:t>%,主要包括基本工资、津贴补贴、奖金、 机关事业单位基本养老保险缴费</w:t>
      </w:r>
      <w:r>
        <w:rPr>
          <w:rFonts w:hint="eastAsia" w:asciiTheme="minorEastAsia" w:hAnsiTheme="minorEastAsia" w:eastAsiaTheme="minorEastAsia"/>
          <w:sz w:val="32"/>
          <w:szCs w:val="32"/>
          <w:lang w:eastAsia="zh-CN"/>
        </w:rPr>
        <w:t>、职工基本医疗保险缴费、其他社会保障缴费、住房公积金</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54.17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11.73</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邮电费、差旅费、维修（护）费、培训费、公务接待费、劳务费、工会经费、其他交通费用、其他商品和服务支出</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6.1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17.05</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6.1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0.55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9.02</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受疫情影响，接待基金检查人员减少</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3.79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87.33</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受疫情影响，接待基金检查人员减少</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0.49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%，决算数大于预算数的主要原因是</w:t>
      </w:r>
      <w:r>
        <w:rPr>
          <w:rFonts w:hint="eastAsia" w:asciiTheme="minorEastAsia" w:hAnsiTheme="minorEastAsia" w:eastAsiaTheme="minorEastAsia"/>
          <w:sz w:val="32"/>
          <w:szCs w:val="32"/>
          <w:lang w:eastAsia="zh-CN"/>
        </w:rPr>
        <w:t>三所合一之前，城乡居民养老保险公务用车的清账</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0.49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三所合一之前，城乡居民养老保险公务用车的清账</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0.55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52.89</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0.49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47.11</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1</w:t>
      </w:r>
      <w:r>
        <w:rPr>
          <w:rFonts w:hint="eastAsia" w:asciiTheme="minorEastAsia" w:hAnsiTheme="minorEastAsia" w:eastAsiaTheme="minorEastAsia"/>
          <w:sz w:val="32"/>
          <w:szCs w:val="32"/>
          <w:highlight w:val="none"/>
        </w:rPr>
        <w:t>、公务接待费支出决算为</w:t>
      </w:r>
      <w:r>
        <w:rPr>
          <w:rFonts w:hint="eastAsia" w:asciiTheme="minorEastAsia" w:hAnsiTheme="minorEastAsia" w:eastAsiaTheme="minorEastAsia"/>
          <w:sz w:val="32"/>
          <w:szCs w:val="32"/>
          <w:highlight w:val="none"/>
          <w:lang w:val="en-US" w:eastAsia="zh-CN"/>
        </w:rPr>
        <w:t>0.55</w:t>
      </w:r>
      <w:r>
        <w:rPr>
          <w:rFonts w:hint="eastAsia" w:asciiTheme="minorEastAsia" w:hAnsiTheme="minorEastAsia" w:eastAsiaTheme="minorEastAsia"/>
          <w:sz w:val="32"/>
          <w:szCs w:val="32"/>
          <w:highlight w:val="none"/>
        </w:rPr>
        <w:t>万元，全年共接待来访团组</w:t>
      </w:r>
      <w:r>
        <w:rPr>
          <w:rFonts w:hint="eastAsia" w:asciiTheme="minorEastAsia" w:hAnsiTheme="minorEastAsia" w:eastAsiaTheme="minorEastAsia"/>
          <w:sz w:val="32"/>
          <w:szCs w:val="32"/>
          <w:highlight w:val="none"/>
          <w:lang w:val="en-US" w:eastAsia="zh-CN"/>
        </w:rPr>
        <w:t>9</w:t>
      </w:r>
      <w:r>
        <w:rPr>
          <w:rFonts w:hint="eastAsia" w:asciiTheme="minorEastAsia" w:hAnsiTheme="minorEastAsia" w:eastAsiaTheme="minorEastAsia"/>
          <w:sz w:val="32"/>
          <w:szCs w:val="32"/>
          <w:highlight w:val="none"/>
        </w:rPr>
        <w:t>个、来宾</w:t>
      </w:r>
      <w:r>
        <w:rPr>
          <w:rFonts w:hint="eastAsia" w:asciiTheme="minorEastAsia" w:hAnsiTheme="minorEastAsia" w:eastAsiaTheme="minorEastAsia"/>
          <w:sz w:val="32"/>
          <w:szCs w:val="32"/>
          <w:highlight w:val="none"/>
          <w:lang w:val="en-US" w:eastAsia="zh-CN"/>
        </w:rPr>
        <w:t>58</w:t>
      </w:r>
      <w:r>
        <w:rPr>
          <w:rFonts w:hint="eastAsia" w:asciiTheme="minorEastAsia" w:hAnsiTheme="minorEastAsia" w:eastAsiaTheme="minorEastAsia"/>
          <w:sz w:val="32"/>
          <w:szCs w:val="32"/>
          <w:highlight w:val="none"/>
        </w:rPr>
        <w:t>人次，主要是</w:t>
      </w:r>
      <w:r>
        <w:rPr>
          <w:rFonts w:hint="eastAsia" w:asciiTheme="minorEastAsia" w:hAnsiTheme="minorEastAsia" w:eastAsiaTheme="minorEastAsia"/>
          <w:sz w:val="32"/>
          <w:szCs w:val="32"/>
          <w:highlight w:val="none"/>
          <w:lang w:eastAsia="zh-CN"/>
        </w:rPr>
        <w:t>接待基金检查人员</w:t>
      </w:r>
      <w:r>
        <w:rPr>
          <w:rFonts w:hint="eastAsia" w:asciiTheme="minorEastAsia" w:hAnsiTheme="minorEastAsia" w:eastAsiaTheme="minorEastAsia"/>
          <w:sz w:val="32"/>
          <w:szCs w:val="32"/>
          <w:highlight w:val="none"/>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0.49</w:t>
      </w:r>
      <w:r>
        <w:rPr>
          <w:rFonts w:hint="eastAsia" w:asciiTheme="minorEastAsia" w:hAnsiTheme="minorEastAsia"/>
          <w:sz w:val="32"/>
          <w:szCs w:val="32"/>
        </w:rPr>
        <w:t>万元，其中：公务用车运行维护费</w:t>
      </w:r>
      <w:r>
        <w:rPr>
          <w:rFonts w:hint="eastAsia" w:asciiTheme="minorEastAsia" w:hAnsiTheme="minorEastAsia"/>
          <w:sz w:val="32"/>
          <w:szCs w:val="32"/>
          <w:lang w:val="en-US" w:eastAsia="zh-CN"/>
        </w:rPr>
        <w:t>0.49</w:t>
      </w:r>
      <w:r>
        <w:rPr>
          <w:rFonts w:hint="eastAsia" w:asciiTheme="minorEastAsia" w:hAnsiTheme="minorEastAsia"/>
          <w:sz w:val="32"/>
          <w:szCs w:val="32"/>
        </w:rPr>
        <w:t>万元，主要是</w:t>
      </w:r>
      <w:r>
        <w:rPr>
          <w:rFonts w:hint="eastAsia" w:asciiTheme="minorEastAsia" w:hAnsiTheme="minorEastAsia" w:eastAsiaTheme="minorEastAsia"/>
          <w:sz w:val="32"/>
          <w:szCs w:val="32"/>
          <w:lang w:eastAsia="zh-CN"/>
        </w:rPr>
        <w:t>三所合一之前，城乡居民养老保险公务用车的清账</w:t>
      </w:r>
      <w:r>
        <w:rPr>
          <w:rFonts w:hint="eastAsia" w:asciiTheme="minorEastAsia" w:hAnsiTheme="minorEastAsia"/>
          <w:sz w:val="32"/>
          <w:szCs w:val="32"/>
        </w:rPr>
        <w:t>支出，截止2020年12月31日，我单位开支财政拨款的公务用车保有量为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rPr>
          <w:rFonts w:hint="eastAsia" w:asciiTheme="minorEastAsia" w:hAnsiTheme="minorEastAsia" w:eastAsiaTheme="minorEastAsia" w:cstheme="minorBidi"/>
          <w:color w:val="auto"/>
          <w:kern w:val="2"/>
          <w:sz w:val="32"/>
          <w:szCs w:val="32"/>
          <w:lang w:val="en-US" w:eastAsia="zh-CN" w:bidi="ar-SA"/>
        </w:rPr>
      </w:pPr>
      <w:r>
        <w:rPr>
          <w:rFonts w:hint="eastAsia" w:asciiTheme="minorEastAsia" w:hAnsiTheme="minorEastAsia" w:eastAsiaTheme="minorEastAsia" w:cstheme="minorBidi"/>
          <w:color w:val="auto"/>
          <w:kern w:val="2"/>
          <w:sz w:val="32"/>
          <w:szCs w:val="32"/>
          <w:lang w:val="en-US" w:eastAsia="zh-CN" w:bidi="ar-SA"/>
        </w:rPr>
        <w:t xml:space="preserve">     本单位无政府性基金收支。</w:t>
      </w:r>
    </w:p>
    <w:p>
      <w:pPr>
        <w:pStyle w:val="10"/>
        <w:rPr>
          <w:rFonts w:hAnsi="黑体"/>
          <w:b/>
          <w:sz w:val="32"/>
          <w:szCs w:val="32"/>
        </w:rPr>
      </w:pPr>
      <w:r>
        <w:rPr>
          <w:rFonts w:hint="eastAsia" w:hAnsi="黑体"/>
          <w:b/>
          <w:sz w:val="32"/>
          <w:szCs w:val="32"/>
        </w:rPr>
        <w:t>九、关于机关运行经费支出说明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47.49</w:t>
      </w:r>
      <w:r>
        <w:rPr>
          <w:rFonts w:hint="eastAsia" w:asciiTheme="minorEastAsia" w:hAnsiTheme="minorEastAsia" w:eastAsiaTheme="minorEastAsia"/>
          <w:sz w:val="32"/>
          <w:szCs w:val="32"/>
        </w:rPr>
        <w:t>万元，比上年决算数减少</w:t>
      </w:r>
      <w:r>
        <w:rPr>
          <w:rFonts w:hint="eastAsia" w:asciiTheme="minorEastAsia" w:hAnsiTheme="minorEastAsia" w:eastAsiaTheme="minorEastAsia"/>
          <w:sz w:val="32"/>
          <w:szCs w:val="32"/>
          <w:lang w:val="en-US" w:eastAsia="zh-CN"/>
        </w:rPr>
        <w:t>31.03</w:t>
      </w:r>
      <w:r>
        <w:rPr>
          <w:rFonts w:hint="eastAsia" w:asciiTheme="minorEastAsia" w:hAnsiTheme="minorEastAsia" w:eastAsiaTheme="minorEastAsia"/>
          <w:sz w:val="32"/>
          <w:szCs w:val="32"/>
        </w:rPr>
        <w:t xml:space="preserve"> 万元，降低</w:t>
      </w:r>
      <w:r>
        <w:rPr>
          <w:rFonts w:hint="eastAsia" w:asciiTheme="minorEastAsia" w:hAnsiTheme="minorEastAsia" w:eastAsiaTheme="minorEastAsia"/>
          <w:sz w:val="32"/>
          <w:szCs w:val="32"/>
          <w:lang w:val="en-US" w:eastAsia="zh-CN"/>
        </w:rPr>
        <w:t>39.52</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节减开支，行政运行费用减少</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十、一般性支出情况</w:t>
      </w:r>
    </w:p>
    <w:p>
      <w:pPr>
        <w:pStyle w:val="10"/>
        <w:ind w:firstLine="640" w:firstLineChars="20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2020年本部门开支会议费</w:t>
      </w:r>
      <w:r>
        <w:rPr>
          <w:rFonts w:hint="eastAsia" w:asciiTheme="minorEastAsia" w:hAnsiTheme="minorEastAsia" w:eastAsiaTheme="minorEastAsia"/>
          <w:sz w:val="32"/>
          <w:szCs w:val="32"/>
          <w:highlight w:val="none"/>
          <w:lang w:val="en-US" w:eastAsia="zh-CN"/>
        </w:rPr>
        <w:t>0.13</w:t>
      </w:r>
      <w:r>
        <w:rPr>
          <w:rFonts w:hint="eastAsia" w:asciiTheme="minorEastAsia" w:hAnsiTheme="minorEastAsia" w:eastAsiaTheme="minorEastAsia"/>
          <w:sz w:val="32"/>
          <w:szCs w:val="32"/>
          <w:highlight w:val="none"/>
        </w:rPr>
        <w:t>万元，用于召开</w:t>
      </w:r>
      <w:r>
        <w:rPr>
          <w:rFonts w:hint="eastAsia" w:asciiTheme="minorEastAsia" w:hAnsiTheme="minorEastAsia" w:eastAsiaTheme="minorEastAsia"/>
          <w:sz w:val="32"/>
          <w:szCs w:val="32"/>
          <w:highlight w:val="none"/>
          <w:lang w:eastAsia="zh-CN"/>
        </w:rPr>
        <w:t>沅江市城乡居民社会养老保险全覆盖工作推进</w:t>
      </w:r>
      <w:r>
        <w:rPr>
          <w:rFonts w:hint="eastAsia" w:asciiTheme="minorEastAsia" w:hAnsiTheme="minorEastAsia" w:eastAsiaTheme="minorEastAsia"/>
          <w:sz w:val="32"/>
          <w:szCs w:val="32"/>
          <w:highlight w:val="none"/>
        </w:rPr>
        <w:t>会议，人数</w:t>
      </w:r>
      <w:r>
        <w:rPr>
          <w:rFonts w:hint="eastAsia" w:asciiTheme="minorEastAsia" w:hAnsiTheme="minorEastAsia" w:eastAsiaTheme="minorEastAsia"/>
          <w:sz w:val="32"/>
          <w:szCs w:val="32"/>
          <w:highlight w:val="none"/>
          <w:lang w:val="en-US" w:eastAsia="zh-CN"/>
        </w:rPr>
        <w:t>37</w:t>
      </w:r>
      <w:r>
        <w:rPr>
          <w:rFonts w:hint="eastAsia" w:asciiTheme="minorEastAsia" w:hAnsiTheme="minorEastAsia" w:eastAsiaTheme="minorEastAsia"/>
          <w:sz w:val="32"/>
          <w:szCs w:val="32"/>
          <w:highlight w:val="none"/>
        </w:rPr>
        <w:t>人，内容为</w:t>
      </w:r>
      <w:r>
        <w:rPr>
          <w:rFonts w:hint="eastAsia" w:asciiTheme="minorEastAsia" w:hAnsiTheme="minorEastAsia" w:eastAsiaTheme="minorEastAsia"/>
          <w:sz w:val="32"/>
          <w:szCs w:val="32"/>
          <w:highlight w:val="none"/>
          <w:lang w:eastAsia="zh-CN"/>
        </w:rPr>
        <w:t>沅江市城乡居民社会养老保险全覆盖工作</w:t>
      </w:r>
      <w:r>
        <w:rPr>
          <w:rFonts w:hint="eastAsia" w:asciiTheme="minorEastAsia" w:hAnsiTheme="minorEastAsia" w:eastAsiaTheme="minorEastAsia"/>
          <w:sz w:val="32"/>
          <w:szCs w:val="32"/>
          <w:highlight w:val="none"/>
        </w:rPr>
        <w:t>；开支培训费</w:t>
      </w:r>
      <w:r>
        <w:rPr>
          <w:rFonts w:hint="eastAsia" w:asciiTheme="minorEastAsia" w:hAnsiTheme="minorEastAsia" w:eastAsiaTheme="minorEastAsia"/>
          <w:sz w:val="32"/>
          <w:szCs w:val="32"/>
          <w:highlight w:val="none"/>
          <w:lang w:val="en-US" w:eastAsia="zh-CN"/>
        </w:rPr>
        <w:t>0.31</w:t>
      </w:r>
      <w:r>
        <w:rPr>
          <w:rFonts w:hint="eastAsia" w:asciiTheme="minorEastAsia" w:hAnsiTheme="minorEastAsia" w:eastAsiaTheme="minorEastAsia"/>
          <w:sz w:val="32"/>
          <w:szCs w:val="32"/>
          <w:highlight w:val="none"/>
        </w:rPr>
        <w:t>万元，用于开展</w:t>
      </w:r>
      <w:r>
        <w:rPr>
          <w:rFonts w:hint="eastAsia" w:asciiTheme="minorEastAsia" w:hAnsiTheme="minorEastAsia" w:eastAsiaTheme="minorEastAsia"/>
          <w:sz w:val="32"/>
          <w:szCs w:val="32"/>
          <w:highlight w:val="none"/>
          <w:lang w:eastAsia="zh-CN"/>
        </w:rPr>
        <w:t>职工职称</w:t>
      </w:r>
      <w:r>
        <w:rPr>
          <w:rFonts w:hint="eastAsia" w:asciiTheme="minorEastAsia" w:hAnsiTheme="minorEastAsia" w:eastAsiaTheme="minorEastAsia"/>
          <w:sz w:val="32"/>
          <w:szCs w:val="32"/>
          <w:highlight w:val="none"/>
        </w:rPr>
        <w:t>培训</w:t>
      </w:r>
      <w:r>
        <w:rPr>
          <w:rFonts w:hint="eastAsia" w:asciiTheme="minorEastAsia" w:hAnsiTheme="minorEastAsia" w:eastAsiaTheme="minorEastAsia"/>
          <w:sz w:val="32"/>
          <w:szCs w:val="32"/>
          <w:highlight w:val="none"/>
          <w:lang w:eastAsia="zh-CN"/>
        </w:rPr>
        <w:t>、会计人员继续教育培训</w:t>
      </w:r>
      <w:r>
        <w:rPr>
          <w:rFonts w:hint="eastAsia" w:asciiTheme="minorEastAsia" w:hAnsiTheme="minorEastAsia" w:eastAsiaTheme="minorEastAsia"/>
          <w:sz w:val="32"/>
          <w:szCs w:val="32"/>
          <w:highlight w:val="none"/>
        </w:rPr>
        <w:t>，人数</w:t>
      </w:r>
      <w:r>
        <w:rPr>
          <w:rFonts w:hint="eastAsia" w:asciiTheme="minorEastAsia" w:hAnsiTheme="minorEastAsia" w:eastAsiaTheme="minorEastAsia"/>
          <w:sz w:val="32"/>
          <w:szCs w:val="32"/>
          <w:highlight w:val="none"/>
          <w:lang w:val="en-US" w:eastAsia="zh-CN"/>
        </w:rPr>
        <w:t>14</w:t>
      </w:r>
      <w:r>
        <w:rPr>
          <w:rFonts w:hint="eastAsia" w:asciiTheme="minorEastAsia" w:hAnsiTheme="minorEastAsia" w:eastAsiaTheme="minorEastAsia"/>
          <w:sz w:val="32"/>
          <w:szCs w:val="32"/>
          <w:highlight w:val="none"/>
        </w:rPr>
        <w:t>人，内容为</w:t>
      </w:r>
      <w:r>
        <w:rPr>
          <w:rFonts w:hint="eastAsia" w:asciiTheme="minorEastAsia" w:hAnsiTheme="minorEastAsia" w:eastAsiaTheme="minorEastAsia"/>
          <w:sz w:val="32"/>
          <w:szCs w:val="32"/>
          <w:highlight w:val="none"/>
          <w:lang w:eastAsia="zh-CN"/>
        </w:rPr>
        <w:t>职工职称继续教育</w:t>
      </w:r>
      <w:r>
        <w:rPr>
          <w:rFonts w:hint="eastAsia" w:asciiTheme="minorEastAsia" w:hAnsiTheme="minorEastAsia" w:eastAsiaTheme="minorEastAsia"/>
          <w:sz w:val="32"/>
          <w:szCs w:val="32"/>
          <w:highlight w:val="none"/>
          <w:lang w:val="en-US" w:eastAsia="zh-CN"/>
        </w:rPr>
        <w:t>6人2700元，会计人员继续教育培训8人410元</w:t>
      </w:r>
      <w:r>
        <w:rPr>
          <w:rFonts w:hint="eastAsia" w:asciiTheme="minorEastAsia" w:hAnsiTheme="minorEastAsia" w:eastAsiaTheme="minorEastAsia"/>
          <w:sz w:val="32"/>
          <w:szCs w:val="32"/>
          <w:highlight w:val="none"/>
          <w:lang w:eastAsia="zh-CN"/>
        </w:rPr>
        <w:t>。</w:t>
      </w:r>
    </w:p>
    <w:p>
      <w:pPr>
        <w:pStyle w:val="10"/>
        <w:rPr>
          <w:rFonts w:hAnsi="黑体"/>
          <w:b/>
          <w:sz w:val="32"/>
          <w:szCs w:val="32"/>
        </w:rPr>
      </w:pPr>
      <w:r>
        <w:rPr>
          <w:rFonts w:hint="eastAsia" w:hAnsi="黑体"/>
          <w:b/>
          <w:sz w:val="32"/>
          <w:szCs w:val="32"/>
        </w:rPr>
        <w:t>十一、关于政府采购支出说明</w:t>
      </w:r>
    </w:p>
    <w:p>
      <w:pPr>
        <w:keepNext/>
        <w:keepLines/>
        <w:autoSpaceDE w:val="0"/>
        <w:autoSpaceDN w:val="0"/>
        <w:adjustRightInd w:val="0"/>
        <w:ind w:firstLine="641"/>
        <w:rPr>
          <w:rFonts w:ascii="Times New Roman" w:hAnsi="Times New Roman" w:eastAsia="仿宋"/>
          <w:sz w:val="32"/>
          <w:szCs w:val="32"/>
        </w:rPr>
      </w:pPr>
      <w:r>
        <w:rPr>
          <w:rFonts w:hint="eastAsia" w:asciiTheme="minorEastAsia" w:hAnsiTheme="minorEastAsia" w:eastAsiaTheme="minorEastAsia" w:cstheme="minorBidi"/>
          <w:color w:val="auto"/>
          <w:kern w:val="2"/>
          <w:sz w:val="32"/>
          <w:szCs w:val="32"/>
          <w:lang w:val="en-US" w:eastAsia="zh-CN" w:bidi="ar-SA"/>
        </w:rPr>
        <w:t>本单位</w:t>
      </w:r>
      <w:r>
        <w:rPr>
          <w:rFonts w:hint="eastAsia" w:asciiTheme="minorEastAsia" w:hAnsiTheme="minorEastAsia" w:cstheme="minorBidi"/>
          <w:color w:val="auto"/>
          <w:kern w:val="2"/>
          <w:sz w:val="32"/>
          <w:szCs w:val="32"/>
          <w:lang w:val="en-US" w:eastAsia="zh-CN" w:bidi="ar-SA"/>
        </w:rPr>
        <w:t>本年度</w:t>
      </w:r>
      <w:r>
        <w:rPr>
          <w:rFonts w:hint="eastAsia" w:asciiTheme="minorEastAsia" w:hAnsiTheme="minorEastAsia" w:eastAsiaTheme="minorEastAsia" w:cstheme="minorBidi"/>
          <w:color w:val="auto"/>
          <w:kern w:val="2"/>
          <w:sz w:val="32"/>
          <w:szCs w:val="32"/>
          <w:lang w:val="en-US" w:eastAsia="zh-CN" w:bidi="ar-SA"/>
        </w:rPr>
        <w:t>无政府性基金收支。</w:t>
      </w:r>
    </w:p>
    <w:p>
      <w:pPr>
        <w:pStyle w:val="10"/>
        <w:rPr>
          <w:rFonts w:hAnsi="黑体"/>
          <w:b/>
          <w:sz w:val="32"/>
          <w:szCs w:val="32"/>
        </w:rPr>
      </w:pPr>
      <w:r>
        <w:rPr>
          <w:rFonts w:hint="eastAsia" w:hAnsi="黑体"/>
          <w:b/>
          <w:sz w:val="32"/>
          <w:szCs w:val="32"/>
        </w:rPr>
        <w:t>十二、关于国有资产占用情况说明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十三、关于2020年度预算绩效情况的说明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按照财政绩效部门要求已公开或其他有关部门要求需随同部门决算一同公开的绩效信息，请作为附件公开）</w:t>
      </w:r>
    </w:p>
    <w:p>
      <w:pPr>
        <w:pStyle w:val="10"/>
        <w:rPr>
          <w:rFonts w:hAnsi="黑体"/>
          <w:b/>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0"/>
        <w:jc w:val="center"/>
        <w:rPr>
          <w:rFonts w:asciiTheme="minorEastAsia" w:hAnsiTheme="minorEastAsia"/>
          <w:sz w:val="32"/>
          <w:szCs w:val="32"/>
        </w:rPr>
      </w:pPr>
      <w:r>
        <w:rPr>
          <w:rFonts w:asciiTheme="minorEastAsia" w:hAnsiTheme="minorEastAsia"/>
          <w:sz w:val="32"/>
          <w:szCs w:val="32"/>
        </w:rPr>
        <w:t>………</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widowControl/>
        <w:shd w:val="clear" w:color="auto" w:fill="FFFFFF"/>
        <w:spacing w:line="600" w:lineRule="atLeast"/>
        <w:jc w:val="center"/>
        <w:rPr>
          <w:rFonts w:ascii="黑体" w:hAnsi="黑体" w:eastAsia="黑体" w:cs="宋体"/>
          <w:b/>
          <w:color w:val="333333"/>
          <w:kern w:val="0"/>
          <w:sz w:val="44"/>
          <w:szCs w:val="44"/>
        </w:rPr>
      </w:pPr>
      <w:r>
        <w:rPr>
          <w:rFonts w:hint="eastAsia" w:ascii="黑体" w:hAnsi="黑体" w:eastAsia="黑体" w:cs="宋体"/>
          <w:b/>
          <w:color w:val="333333"/>
          <w:kern w:val="0"/>
          <w:sz w:val="44"/>
          <w:szCs w:val="44"/>
        </w:rPr>
        <w:t>沅江市社会保险服务中心</w:t>
      </w:r>
    </w:p>
    <w:p>
      <w:pPr>
        <w:widowControl/>
        <w:shd w:val="clear" w:color="auto" w:fill="FFFFFF"/>
        <w:spacing w:line="600" w:lineRule="atLeast"/>
        <w:jc w:val="center"/>
        <w:rPr>
          <w:rFonts w:ascii="黑体" w:hAnsi="黑体" w:eastAsia="黑体" w:cs="宋体"/>
          <w:b/>
          <w:color w:val="333333"/>
          <w:kern w:val="0"/>
          <w:sz w:val="44"/>
          <w:szCs w:val="44"/>
        </w:rPr>
      </w:pPr>
      <w:r>
        <w:rPr>
          <w:rFonts w:hint="eastAsia" w:ascii="黑体" w:hAnsi="黑体" w:eastAsia="黑体" w:cs="宋体"/>
          <w:b/>
          <w:color w:val="333333"/>
          <w:kern w:val="0"/>
          <w:sz w:val="44"/>
          <w:szCs w:val="44"/>
        </w:rPr>
        <w:t>20</w:t>
      </w:r>
      <w:r>
        <w:rPr>
          <w:rFonts w:hint="eastAsia" w:ascii="黑体" w:hAnsi="黑体" w:eastAsia="黑体" w:cs="宋体"/>
          <w:b/>
          <w:color w:val="333333"/>
          <w:kern w:val="0"/>
          <w:sz w:val="44"/>
          <w:szCs w:val="44"/>
          <w:lang w:val="en-US" w:eastAsia="zh-CN"/>
        </w:rPr>
        <w:t>20</w:t>
      </w:r>
      <w:r>
        <w:rPr>
          <w:rFonts w:hint="eastAsia" w:ascii="黑体" w:hAnsi="黑体" w:eastAsia="黑体" w:cs="宋体"/>
          <w:b/>
          <w:color w:val="333333"/>
          <w:kern w:val="0"/>
          <w:sz w:val="44"/>
          <w:szCs w:val="44"/>
        </w:rPr>
        <w:t>年度整体支出</w:t>
      </w:r>
      <w:r>
        <w:rPr>
          <w:rFonts w:ascii="黑体" w:hAnsi="黑体" w:eastAsia="黑体"/>
          <w:b/>
          <w:color w:val="333333"/>
          <w:kern w:val="0"/>
          <w:sz w:val="44"/>
          <w:szCs w:val="44"/>
        </w:rPr>
        <w:t>绩效</w:t>
      </w:r>
      <w:r>
        <w:rPr>
          <w:rFonts w:hint="eastAsia" w:ascii="黑体" w:hAnsi="黑体" w:eastAsia="黑体" w:cs="宋体"/>
          <w:b/>
          <w:color w:val="333333"/>
          <w:kern w:val="0"/>
          <w:sz w:val="44"/>
          <w:szCs w:val="44"/>
        </w:rPr>
        <w:t>评价</w:t>
      </w:r>
      <w:r>
        <w:rPr>
          <w:rFonts w:ascii="黑体" w:hAnsi="黑体" w:eastAsia="黑体"/>
          <w:b/>
          <w:color w:val="333333"/>
          <w:kern w:val="0"/>
          <w:sz w:val="44"/>
          <w:szCs w:val="44"/>
        </w:rPr>
        <w:t>报告</w:t>
      </w:r>
    </w:p>
    <w:p>
      <w:pPr>
        <w:widowControl/>
        <w:shd w:val="clear" w:color="auto" w:fill="FFFFFF"/>
        <w:spacing w:line="640" w:lineRule="atLeast"/>
        <w:ind w:firstLine="688"/>
        <w:jc w:val="left"/>
        <w:rPr>
          <w:rFonts w:ascii="微软雅黑" w:hAnsi="微软雅黑" w:eastAsia="微软雅黑" w:cs="宋体"/>
          <w:kern w:val="0"/>
          <w:sz w:val="34"/>
          <w:szCs w:val="34"/>
        </w:rPr>
      </w:pPr>
      <w:r>
        <w:rPr>
          <w:rFonts w:hint="eastAsia" w:ascii="仿宋" w:hAnsi="仿宋" w:eastAsia="仿宋" w:cs="宋体"/>
          <w:color w:val="333333"/>
          <w:kern w:val="0"/>
          <w:sz w:val="34"/>
          <w:szCs w:val="34"/>
        </w:rPr>
        <w:t>一、部门基本情况</w:t>
      </w:r>
    </w:p>
    <w:p>
      <w:pPr>
        <w:widowControl/>
        <w:shd w:val="clear" w:color="auto" w:fill="FFFFFF"/>
        <w:spacing w:line="592" w:lineRule="atLeast"/>
        <w:ind w:firstLine="688"/>
        <w:jc w:val="left"/>
        <w:rPr>
          <w:rFonts w:ascii="微软雅黑" w:hAnsi="微软雅黑" w:eastAsia="微软雅黑" w:cs="宋体"/>
          <w:kern w:val="0"/>
          <w:sz w:val="34"/>
          <w:szCs w:val="34"/>
        </w:rPr>
      </w:pPr>
      <w:r>
        <w:rPr>
          <w:rFonts w:hint="eastAsia" w:ascii="仿宋" w:hAnsi="仿宋" w:eastAsia="仿宋" w:cs="宋体"/>
          <w:kern w:val="0"/>
          <w:sz w:val="34"/>
          <w:szCs w:val="34"/>
        </w:rPr>
        <w:t>（一）机构设置情况。</w:t>
      </w:r>
    </w:p>
    <w:p>
      <w:pPr>
        <w:ind w:firstLine="850" w:firstLineChars="250"/>
        <w:jc w:val="left"/>
        <w:rPr>
          <w:rFonts w:ascii="仿宋" w:hAnsi="仿宋" w:eastAsia="仿宋"/>
          <w:sz w:val="34"/>
          <w:szCs w:val="34"/>
        </w:rPr>
      </w:pPr>
      <w:r>
        <w:rPr>
          <w:rFonts w:hint="eastAsia" w:ascii="仿宋" w:hAnsi="仿宋" w:eastAsia="仿宋"/>
          <w:sz w:val="34"/>
          <w:szCs w:val="34"/>
        </w:rPr>
        <w:t>沅江市社会保险服务中心</w:t>
      </w:r>
      <w:r>
        <w:rPr>
          <w:rFonts w:hint="eastAsia" w:ascii="仿宋" w:hAnsi="仿宋" w:eastAsia="仿宋" w:cs="仿宋_GB2312"/>
          <w:sz w:val="34"/>
          <w:szCs w:val="34"/>
        </w:rPr>
        <w:t>为沅江市人力资源和社会保障局所属的二级机构，</w:t>
      </w:r>
      <w:r>
        <w:rPr>
          <w:rFonts w:hint="eastAsia" w:ascii="仿宋" w:hAnsi="仿宋" w:eastAsia="仿宋" w:cs="宋体"/>
          <w:color w:val="333333"/>
          <w:kern w:val="0"/>
          <w:sz w:val="34"/>
          <w:szCs w:val="34"/>
        </w:rPr>
        <w:t>为全额拨款事业单位，</w:t>
      </w:r>
      <w:r>
        <w:rPr>
          <w:rFonts w:hint="eastAsia" w:ascii="仿宋" w:hAnsi="仿宋" w:eastAsia="仿宋" w:cs="仿宋"/>
          <w:sz w:val="34"/>
          <w:szCs w:val="34"/>
        </w:rPr>
        <w:t>无下属单位。</w:t>
      </w:r>
    </w:p>
    <w:p>
      <w:pPr>
        <w:widowControl/>
        <w:shd w:val="clear" w:color="auto" w:fill="FFFFFF"/>
        <w:spacing w:line="592" w:lineRule="atLeast"/>
        <w:ind w:firstLine="688"/>
        <w:jc w:val="left"/>
        <w:rPr>
          <w:rFonts w:ascii="仿宋" w:hAnsi="仿宋" w:eastAsia="仿宋" w:cs="宋体"/>
          <w:color w:val="000000"/>
          <w:kern w:val="0"/>
          <w:sz w:val="34"/>
          <w:szCs w:val="34"/>
        </w:rPr>
      </w:pPr>
      <w:r>
        <w:rPr>
          <w:rFonts w:hint="eastAsia" w:ascii="仿宋" w:hAnsi="仿宋" w:eastAsia="仿宋" w:cs="宋体"/>
          <w:color w:val="000000"/>
          <w:kern w:val="0"/>
          <w:sz w:val="34"/>
          <w:szCs w:val="34"/>
        </w:rPr>
        <w:t>根据编委核定，我中心内设股室11个：办公室，人事政工股，个人账户管理股，征缴股，待遇核定股，待遇支付股，职业年金管理股，稽核股，信息统计股，档案管理股。</w:t>
      </w:r>
    </w:p>
    <w:p>
      <w:pPr>
        <w:widowControl/>
        <w:shd w:val="clear" w:color="auto" w:fill="FFFFFF"/>
        <w:spacing w:line="592" w:lineRule="atLeast"/>
        <w:ind w:firstLine="688"/>
        <w:jc w:val="left"/>
        <w:rPr>
          <w:rFonts w:ascii="微软雅黑" w:hAnsi="微软雅黑" w:eastAsia="微软雅黑" w:cs="宋体"/>
          <w:kern w:val="0"/>
          <w:sz w:val="34"/>
          <w:szCs w:val="34"/>
        </w:rPr>
      </w:pPr>
      <w:r>
        <w:rPr>
          <w:rFonts w:hint="eastAsia" w:ascii="仿宋" w:hAnsi="仿宋" w:eastAsia="仿宋" w:cs="宋体"/>
          <w:color w:val="333333"/>
          <w:kern w:val="0"/>
          <w:sz w:val="34"/>
          <w:szCs w:val="34"/>
        </w:rPr>
        <w:t>（二）人员情况</w:t>
      </w:r>
    </w:p>
    <w:p>
      <w:pPr>
        <w:widowControl/>
        <w:shd w:val="clear" w:color="auto" w:fill="FFFFFF"/>
        <w:spacing w:line="592" w:lineRule="atLeast"/>
        <w:ind w:firstLine="688"/>
        <w:jc w:val="left"/>
        <w:rPr>
          <w:rFonts w:ascii="仿宋" w:hAnsi="仿宋" w:eastAsia="仿宋"/>
          <w:color w:val="000000"/>
          <w:sz w:val="34"/>
          <w:szCs w:val="34"/>
          <w:shd w:val="clear" w:color="auto" w:fill="FFFFFF"/>
        </w:rPr>
      </w:pPr>
      <w:r>
        <w:rPr>
          <w:rFonts w:ascii="仿宋" w:hAnsi="仿宋" w:eastAsia="仿宋" w:cs="仿宋"/>
          <w:sz w:val="34"/>
          <w:szCs w:val="34"/>
        </w:rPr>
        <w:t>20</w:t>
      </w:r>
      <w:r>
        <w:rPr>
          <w:rFonts w:hint="eastAsia" w:ascii="仿宋" w:hAnsi="仿宋" w:eastAsia="仿宋" w:cs="仿宋"/>
          <w:sz w:val="34"/>
          <w:szCs w:val="34"/>
          <w:lang w:val="en-US" w:eastAsia="zh-CN"/>
        </w:rPr>
        <w:t>20</w:t>
      </w:r>
      <w:r>
        <w:rPr>
          <w:rFonts w:hint="eastAsia" w:ascii="仿宋" w:hAnsi="仿宋" w:eastAsia="仿宋" w:cs="仿宋"/>
          <w:sz w:val="34"/>
          <w:szCs w:val="34"/>
        </w:rPr>
        <w:t>年末</w:t>
      </w:r>
      <w:r>
        <w:rPr>
          <w:rFonts w:hint="eastAsia" w:ascii="仿宋" w:hAnsi="仿宋" w:eastAsia="仿宋" w:cs="宋体"/>
          <w:color w:val="333333"/>
          <w:kern w:val="0"/>
          <w:sz w:val="34"/>
          <w:szCs w:val="34"/>
        </w:rPr>
        <w:t>我单位实有在职人员</w:t>
      </w:r>
      <w:r>
        <w:rPr>
          <w:rFonts w:hint="eastAsia" w:ascii="仿宋" w:hAnsi="仿宋" w:eastAsia="仿宋"/>
          <w:color w:val="000000"/>
          <w:sz w:val="34"/>
          <w:szCs w:val="34"/>
          <w:shd w:val="clear" w:color="auto" w:fill="FFFFFF"/>
        </w:rPr>
        <w:t>5</w:t>
      </w:r>
      <w:r>
        <w:rPr>
          <w:rFonts w:hint="eastAsia" w:ascii="仿宋" w:hAnsi="仿宋" w:eastAsia="仿宋"/>
          <w:color w:val="000000"/>
          <w:sz w:val="34"/>
          <w:szCs w:val="34"/>
          <w:shd w:val="clear" w:color="auto" w:fill="FFFFFF"/>
          <w:lang w:val="en-US" w:eastAsia="zh-CN"/>
        </w:rPr>
        <w:t>8</w:t>
      </w:r>
      <w:r>
        <w:rPr>
          <w:rFonts w:hint="eastAsia" w:ascii="仿宋" w:hAnsi="仿宋" w:eastAsia="仿宋"/>
          <w:color w:val="000000"/>
          <w:sz w:val="34"/>
          <w:szCs w:val="34"/>
          <w:shd w:val="clear" w:color="auto" w:fill="FFFFFF"/>
        </w:rPr>
        <w:t>人。其中：实有在职人员4</w:t>
      </w:r>
      <w:r>
        <w:rPr>
          <w:rFonts w:hint="eastAsia" w:ascii="仿宋" w:hAnsi="仿宋" w:eastAsia="仿宋"/>
          <w:color w:val="000000"/>
          <w:sz w:val="34"/>
          <w:szCs w:val="34"/>
          <w:shd w:val="clear" w:color="auto" w:fill="FFFFFF"/>
          <w:lang w:val="en-US" w:eastAsia="zh-CN"/>
        </w:rPr>
        <w:t>5</w:t>
      </w:r>
      <w:r>
        <w:rPr>
          <w:rFonts w:hint="eastAsia" w:ascii="仿宋" w:hAnsi="仿宋" w:eastAsia="仿宋"/>
          <w:color w:val="000000"/>
          <w:sz w:val="34"/>
          <w:szCs w:val="34"/>
          <w:shd w:val="clear" w:color="auto" w:fill="FFFFFF"/>
        </w:rPr>
        <w:t>人，离退休人员13人。</w:t>
      </w:r>
    </w:p>
    <w:p>
      <w:pPr>
        <w:widowControl/>
        <w:shd w:val="clear" w:color="auto" w:fill="FFFFFF"/>
        <w:spacing w:line="592" w:lineRule="atLeast"/>
        <w:ind w:firstLine="688"/>
        <w:jc w:val="left"/>
        <w:rPr>
          <w:rFonts w:ascii="微软雅黑" w:hAnsi="微软雅黑" w:eastAsia="微软雅黑" w:cs="宋体"/>
          <w:kern w:val="0"/>
          <w:sz w:val="34"/>
          <w:szCs w:val="34"/>
        </w:rPr>
      </w:pPr>
      <w:r>
        <w:rPr>
          <w:rFonts w:hint="eastAsia" w:ascii="仿宋" w:hAnsi="仿宋" w:eastAsia="仿宋" w:cs="宋体"/>
          <w:kern w:val="0"/>
          <w:sz w:val="34"/>
          <w:szCs w:val="34"/>
        </w:rPr>
        <w:t>（三）主要工作职责：</w:t>
      </w:r>
    </w:p>
    <w:p>
      <w:pPr>
        <w:widowControl/>
        <w:shd w:val="clear" w:color="auto" w:fill="FFFFFF"/>
        <w:spacing w:before="100" w:after="100" w:line="560" w:lineRule="atLeast"/>
        <w:ind w:firstLine="499" w:firstLineChars="147"/>
        <w:jc w:val="left"/>
        <w:rPr>
          <w:rFonts w:ascii="仿宋" w:hAnsi="仿宋" w:eastAsia="仿宋" w:cs="宋体"/>
          <w:color w:val="000000"/>
          <w:kern w:val="0"/>
          <w:sz w:val="34"/>
          <w:szCs w:val="34"/>
        </w:rPr>
      </w:pPr>
      <w:r>
        <w:rPr>
          <w:rFonts w:hint="eastAsia" w:ascii="仿宋" w:hAnsi="仿宋" w:eastAsia="仿宋" w:cs="宋体"/>
          <w:color w:val="000000"/>
          <w:kern w:val="0"/>
          <w:sz w:val="34"/>
          <w:szCs w:val="34"/>
        </w:rPr>
        <w:t>负责全市机关事业单位、企业职工、城乡居民养老保险基金以及机关事业单位职业年金的</w:t>
      </w:r>
      <w:r>
        <w:rPr>
          <w:rFonts w:hint="eastAsia" w:ascii="仿宋" w:hAnsi="仿宋" w:eastAsia="仿宋" w:cs="宋体"/>
          <w:color w:val="000000"/>
          <w:kern w:val="0"/>
          <w:sz w:val="34"/>
          <w:szCs w:val="34"/>
          <w:lang w:eastAsia="zh-CN"/>
        </w:rPr>
        <w:t>业务办理</w:t>
      </w:r>
      <w:r>
        <w:rPr>
          <w:rFonts w:hint="eastAsia" w:ascii="仿宋" w:hAnsi="仿宋" w:eastAsia="仿宋" w:cs="宋体"/>
          <w:color w:val="000000"/>
          <w:kern w:val="0"/>
          <w:sz w:val="34"/>
          <w:szCs w:val="34"/>
        </w:rPr>
        <w:t>、生存认证、稽核稽查等管理及养老金的发放工作。</w:t>
      </w:r>
    </w:p>
    <w:p>
      <w:pPr>
        <w:pStyle w:val="5"/>
        <w:shd w:val="clear" w:color="auto" w:fill="FFFFFF"/>
        <w:spacing w:before="0" w:beforeAutospacing="0" w:after="0" w:afterAutospacing="0" w:line="480" w:lineRule="atLeast"/>
        <w:ind w:firstLine="480"/>
        <w:rPr>
          <w:rFonts w:ascii="仿宋" w:hAnsi="仿宋" w:eastAsia="仿宋"/>
          <w:color w:val="333333"/>
          <w:sz w:val="34"/>
          <w:szCs w:val="34"/>
        </w:rPr>
      </w:pPr>
      <w:r>
        <w:rPr>
          <w:rFonts w:hint="eastAsia" w:ascii="仿宋" w:hAnsi="仿宋" w:eastAsia="仿宋"/>
          <w:color w:val="333333"/>
          <w:sz w:val="34"/>
          <w:szCs w:val="34"/>
        </w:rPr>
        <w:t>二、部门整体收支概况</w:t>
      </w:r>
    </w:p>
    <w:p>
      <w:pPr>
        <w:widowControl/>
        <w:shd w:val="clear" w:color="auto" w:fill="FFFFFF"/>
        <w:spacing w:line="592" w:lineRule="atLeast"/>
        <w:ind w:firstLine="688"/>
        <w:jc w:val="left"/>
        <w:rPr>
          <w:rFonts w:ascii="仿宋" w:hAnsi="仿宋" w:eastAsia="仿宋" w:cs="仿宋"/>
          <w:sz w:val="34"/>
          <w:szCs w:val="34"/>
        </w:rPr>
      </w:pPr>
      <w:r>
        <w:rPr>
          <w:rFonts w:hint="eastAsia" w:ascii="仿宋" w:hAnsi="仿宋" w:eastAsia="仿宋"/>
          <w:color w:val="333333"/>
          <w:sz w:val="34"/>
          <w:szCs w:val="34"/>
        </w:rPr>
        <w:t>2019年5月</w:t>
      </w:r>
      <w:r>
        <w:rPr>
          <w:rFonts w:hint="eastAsia" w:ascii="仿宋" w:hAnsi="仿宋" w:eastAsia="仿宋" w:cs="仿宋"/>
          <w:sz w:val="34"/>
          <w:szCs w:val="34"/>
        </w:rPr>
        <w:t>根据《中共沅江市委 沅江市人民政府关于印发&lt;沅江市机构改改革方案&gt;的通知》（沅发【2019】5号），原沅江市社会劳动保险所、沅江市机关事业单位社会保险所、沅江市城乡居民社会养老保险所三所合并为沅江市社会保险服务中心。由于机构撤并,</w:t>
      </w:r>
      <w:r>
        <w:rPr>
          <w:rFonts w:ascii="仿宋" w:hAnsi="仿宋" w:eastAsia="仿宋" w:cs="仿宋"/>
          <w:sz w:val="34"/>
          <w:szCs w:val="34"/>
        </w:rPr>
        <w:t>20</w:t>
      </w:r>
      <w:r>
        <w:rPr>
          <w:rFonts w:hint="eastAsia" w:ascii="仿宋" w:hAnsi="仿宋" w:eastAsia="仿宋" w:cs="仿宋"/>
          <w:sz w:val="34"/>
          <w:szCs w:val="34"/>
          <w:lang w:val="en-US" w:eastAsia="zh-CN"/>
        </w:rPr>
        <w:t>20</w:t>
      </w:r>
      <w:r>
        <w:rPr>
          <w:rFonts w:hint="eastAsia" w:ascii="仿宋" w:hAnsi="仿宋" w:eastAsia="仿宋" w:cs="仿宋"/>
          <w:sz w:val="34"/>
          <w:szCs w:val="34"/>
        </w:rPr>
        <w:t>年收入实际完成</w:t>
      </w:r>
      <w:r>
        <w:rPr>
          <w:rFonts w:hint="eastAsia" w:ascii="仿宋" w:hAnsi="仿宋" w:eastAsia="仿宋" w:cs="仿宋"/>
          <w:sz w:val="34"/>
          <w:szCs w:val="34"/>
          <w:lang w:val="en-US" w:eastAsia="zh-CN"/>
        </w:rPr>
        <w:t>636</w:t>
      </w:r>
      <w:r>
        <w:rPr>
          <w:rFonts w:hint="eastAsia" w:ascii="仿宋" w:hAnsi="仿宋" w:eastAsia="仿宋" w:cs="仿宋"/>
          <w:sz w:val="34"/>
          <w:szCs w:val="34"/>
        </w:rPr>
        <w:t>万元,本部门支出</w:t>
      </w:r>
      <w:r>
        <w:rPr>
          <w:rFonts w:hint="eastAsia" w:ascii="仿宋" w:hAnsi="仿宋" w:eastAsia="仿宋" w:cs="仿宋"/>
          <w:sz w:val="34"/>
          <w:szCs w:val="34"/>
          <w:lang w:val="en-US" w:eastAsia="zh-CN"/>
        </w:rPr>
        <w:t>617</w:t>
      </w:r>
      <w:r>
        <w:rPr>
          <w:rFonts w:hint="eastAsia" w:ascii="仿宋" w:hAnsi="仿宋" w:eastAsia="仿宋" w:cs="仿宋"/>
          <w:sz w:val="34"/>
          <w:szCs w:val="34"/>
        </w:rPr>
        <w:t>万元。</w:t>
      </w:r>
    </w:p>
    <w:p>
      <w:pPr>
        <w:pStyle w:val="5"/>
        <w:shd w:val="clear" w:color="auto" w:fill="FFFFFF"/>
        <w:spacing w:before="0" w:beforeAutospacing="0" w:after="0" w:afterAutospacing="0" w:line="480" w:lineRule="atLeast"/>
        <w:ind w:firstLine="480"/>
        <w:rPr>
          <w:rFonts w:ascii="仿宋" w:hAnsi="仿宋" w:eastAsia="仿宋"/>
          <w:color w:val="333333"/>
          <w:sz w:val="34"/>
          <w:szCs w:val="34"/>
        </w:rPr>
      </w:pPr>
      <w:r>
        <w:rPr>
          <w:rFonts w:hint="eastAsia" w:ascii="仿宋" w:hAnsi="仿宋" w:eastAsia="仿宋"/>
          <w:color w:val="333333"/>
          <w:sz w:val="34"/>
          <w:szCs w:val="34"/>
        </w:rPr>
        <w:t>其中：工资及福利支出</w:t>
      </w:r>
      <w:r>
        <w:rPr>
          <w:rFonts w:hint="eastAsia" w:ascii="仿宋" w:hAnsi="仿宋" w:eastAsia="仿宋"/>
          <w:color w:val="333333"/>
          <w:sz w:val="34"/>
          <w:szCs w:val="34"/>
          <w:lang w:val="en-US" w:eastAsia="zh-CN"/>
        </w:rPr>
        <w:t>407</w:t>
      </w:r>
      <w:r>
        <w:rPr>
          <w:rFonts w:hint="eastAsia" w:ascii="仿宋" w:hAnsi="仿宋" w:eastAsia="仿宋"/>
          <w:color w:val="333333"/>
          <w:sz w:val="34"/>
          <w:szCs w:val="34"/>
        </w:rPr>
        <w:t>万元、对个人及家庭的补助支出</w:t>
      </w:r>
      <w:r>
        <w:rPr>
          <w:rFonts w:hint="eastAsia" w:ascii="仿宋" w:hAnsi="仿宋" w:eastAsia="仿宋"/>
          <w:color w:val="333333"/>
          <w:sz w:val="34"/>
          <w:szCs w:val="34"/>
          <w:lang w:val="en-US" w:eastAsia="zh-CN"/>
        </w:rPr>
        <w:t>0</w:t>
      </w:r>
      <w:r>
        <w:rPr>
          <w:rFonts w:hint="eastAsia" w:ascii="仿宋" w:hAnsi="仿宋" w:eastAsia="仿宋"/>
          <w:color w:val="333333"/>
          <w:sz w:val="34"/>
          <w:szCs w:val="34"/>
        </w:rPr>
        <w:t>万元、商品及服务支出</w:t>
      </w:r>
      <w:r>
        <w:rPr>
          <w:rFonts w:hint="eastAsia" w:ascii="仿宋" w:hAnsi="仿宋" w:eastAsia="仿宋"/>
          <w:color w:val="333333"/>
          <w:sz w:val="34"/>
          <w:szCs w:val="34"/>
          <w:lang w:val="en-US" w:eastAsia="zh-CN"/>
        </w:rPr>
        <w:t>54</w:t>
      </w:r>
      <w:r>
        <w:rPr>
          <w:rFonts w:hint="eastAsia" w:ascii="仿宋" w:hAnsi="仿宋" w:eastAsia="仿宋"/>
          <w:color w:val="333333"/>
          <w:sz w:val="34"/>
          <w:szCs w:val="34"/>
        </w:rPr>
        <w:t>万元。</w:t>
      </w:r>
    </w:p>
    <w:p>
      <w:pPr>
        <w:widowControl/>
        <w:shd w:val="clear" w:color="auto" w:fill="FFFFFF"/>
        <w:spacing w:line="592" w:lineRule="atLeast"/>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三、部门整体支出管理情况</w:t>
      </w:r>
    </w:p>
    <w:p>
      <w:pPr>
        <w:widowControl/>
        <w:shd w:val="clear" w:color="auto" w:fill="FFFFFF"/>
        <w:spacing w:line="576" w:lineRule="atLeast"/>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总的来说，我单位财务管理较为严格，建立了《沅江市城乡居民社会养老保险所财务管理制度》，并严格按照市财政局制定的公务接待、差旅费、培训费、会议费等相关管理办法，规范了公务支出管理。严格履行财务审批手续，做到了无计划安排不报账，无领导审批不报账，无经手人签字不报账，不符合财务规定的发票、票据不报账。经费的开支管理及费用报销均严格执行相关制度规定，坚持勤俭节约，在安排支出时，分轻重缓急，保证常规和重点支出需要，既体现实际工作需要，又考虑财力可能，统筹安排，合理支出。</w:t>
      </w:r>
    </w:p>
    <w:p>
      <w:pPr>
        <w:widowControl/>
        <w:shd w:val="clear" w:color="auto" w:fill="FFFFFF"/>
        <w:spacing w:line="480" w:lineRule="auto"/>
        <w:ind w:firstLine="512"/>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四、部门整体支出绩效情况</w:t>
      </w:r>
    </w:p>
    <w:p>
      <w:pPr>
        <w:widowControl/>
        <w:shd w:val="clear" w:color="auto" w:fill="FFFFFF"/>
        <w:spacing w:line="480" w:lineRule="auto"/>
        <w:ind w:firstLine="512"/>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（一）部门职责履行情况</w:t>
      </w:r>
    </w:p>
    <w:p>
      <w:pPr>
        <w:widowControl/>
        <w:shd w:val="clear" w:color="auto" w:fill="FFFFFF"/>
        <w:spacing w:line="640" w:lineRule="atLeast"/>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20</w:t>
      </w:r>
      <w:r>
        <w:rPr>
          <w:rFonts w:hint="eastAsia" w:ascii="仿宋" w:hAnsi="仿宋" w:eastAsia="仿宋" w:cs="宋体"/>
          <w:color w:val="333333"/>
          <w:kern w:val="0"/>
          <w:sz w:val="34"/>
          <w:szCs w:val="34"/>
          <w:lang w:val="en-US" w:eastAsia="zh-CN"/>
        </w:rPr>
        <w:t>20</w:t>
      </w:r>
      <w:r>
        <w:rPr>
          <w:rFonts w:hint="eastAsia" w:ascii="仿宋" w:hAnsi="仿宋" w:eastAsia="仿宋" w:cs="宋体"/>
          <w:color w:val="333333"/>
          <w:kern w:val="0"/>
          <w:sz w:val="34"/>
          <w:szCs w:val="34"/>
        </w:rPr>
        <w:t>年，我单位按照年初工作规划，认真贯彻党的十九大和十八届六中、七中全会精神，以健全完善经办制度为基础，以全面提升经办能力为抓手，以“人人参与、人人享有、人人获益、人人便利”为目标，结合了“不忘初心、牢记使命”的主题教育，扎实推进养老保险工作，取得了良好的社会效益和经济效益。</w:t>
      </w:r>
    </w:p>
    <w:p>
      <w:pPr>
        <w:widowControl/>
        <w:shd w:val="clear" w:color="auto" w:fill="FFFFFF"/>
        <w:spacing w:line="640" w:lineRule="atLeast"/>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1、大力整治死亡违规冒领社保资金问题。基金安全一直是中心工作重中之重，一是以待遇领取资格认证为主导，多措并举堵塞基金漏洞。通过“互联网+监督”查出疑似死亡冒领人员多人，我中心高度重视，认真核查，联合公安、民政等部门开展数据比对、并对疑似死亡人员采取暂停待遇发放处理，并要求各乡镇劳务站全面开展追缴冒领养老金工作，截止目前已追回冒领金额75.95多万。为杜绝今后养老金冒领情况发生，确保基金安全运行，我市全面推行手机网上认证，我中心狠抓宣传，印制《开展20</w:t>
      </w:r>
      <w:r>
        <w:rPr>
          <w:rFonts w:hint="eastAsia" w:ascii="仿宋" w:hAnsi="仿宋" w:eastAsia="仿宋" w:cs="宋体"/>
          <w:color w:val="333333"/>
          <w:kern w:val="0"/>
          <w:sz w:val="34"/>
          <w:szCs w:val="34"/>
          <w:lang w:val="en-US" w:eastAsia="zh-CN"/>
        </w:rPr>
        <w:t>20</w:t>
      </w:r>
      <w:r>
        <w:rPr>
          <w:rFonts w:hint="eastAsia" w:ascii="仿宋" w:hAnsi="仿宋" w:eastAsia="仿宋" w:cs="宋体"/>
          <w:color w:val="333333"/>
          <w:kern w:val="0"/>
          <w:sz w:val="34"/>
          <w:szCs w:val="34"/>
        </w:rPr>
        <w:t>年度城居保待遇领取资格认证通知》等宣传资料下发各乡镇村组、金融网点，扎实推进资格认证工作，到目前为止，手机网上认证成功率高，来势较好，有效杜绝了基金流失。二是以内控管理为基础，进一步筑牢基金“安全门”。我们加强与财政、审计部门衔接沟通，切实强化城乡居保基金管理。城居保基金严格执行“收支两条线”管理制度，做到专款专存，专款专用，并自觉接受财政、审计、人社部门监督；建立完善城居保多项管理制度，规范多项业务流程，严格执行“一事双岗双审”制度，防范基金流失；做好并监控基金预算、划拨、发放等环节，确保了基金安全运行。</w:t>
      </w:r>
    </w:p>
    <w:p>
      <w:pPr>
        <w:widowControl/>
        <w:shd w:val="clear" w:color="auto" w:fill="FFFFFF"/>
        <w:spacing w:line="640" w:lineRule="atLeast"/>
        <w:ind w:firstLine="688"/>
        <w:jc w:val="left"/>
        <w:rPr>
          <w:rFonts w:ascii="仿宋" w:hAnsi="仿宋" w:eastAsia="仿宋" w:cs="宋体"/>
          <w:color w:val="333333"/>
          <w:kern w:val="0"/>
          <w:sz w:val="34"/>
          <w:szCs w:val="34"/>
        </w:rPr>
      </w:pPr>
      <w:r>
        <w:rPr>
          <w:rFonts w:hint="eastAsia" w:ascii="仿宋" w:hAnsi="仿宋" w:eastAsia="仿宋"/>
          <w:color w:val="000000"/>
          <w:sz w:val="34"/>
          <w:szCs w:val="34"/>
          <w:shd w:val="clear" w:color="auto" w:fill="FFFFFF"/>
          <w:lang w:val="en-US" w:eastAsia="zh-CN"/>
        </w:rPr>
        <w:t>2</w:t>
      </w:r>
      <w:r>
        <w:rPr>
          <w:rFonts w:hint="eastAsia" w:ascii="仿宋" w:hAnsi="仿宋" w:eastAsia="仿宋"/>
          <w:color w:val="000000"/>
          <w:sz w:val="34"/>
          <w:szCs w:val="34"/>
          <w:shd w:val="clear" w:color="auto" w:fill="FFFFFF"/>
        </w:rPr>
        <w:t>、</w:t>
      </w:r>
      <w:r>
        <w:rPr>
          <w:rFonts w:hint="eastAsia" w:ascii="仿宋" w:hAnsi="仿宋" w:eastAsia="仿宋"/>
          <w:bCs/>
          <w:color w:val="000000"/>
          <w:sz w:val="34"/>
          <w:szCs w:val="34"/>
          <w:shd w:val="clear" w:color="auto" w:fill="FFFFFF"/>
        </w:rPr>
        <w:t>做好企业职工养老保险省级统筹工作。</w:t>
      </w:r>
      <w:r>
        <w:rPr>
          <w:rFonts w:hint="eastAsia" w:ascii="仿宋" w:hAnsi="仿宋" w:eastAsia="仿宋"/>
          <w:color w:val="000000"/>
          <w:sz w:val="34"/>
          <w:szCs w:val="34"/>
          <w:shd w:val="clear" w:color="auto" w:fill="FFFFFF"/>
        </w:rPr>
        <w:t>根据《湖南省人民政府关于完善企业职工基本养老保险省级统筹制度的通知》（湘政发〔2019〕11号）文件精神，沅江市从2019年7月开始实现企业养老保险省级统筹。省级统筹后，我局主要征缴方面、支出方面和监督方面工作，力争做到应保尽保，严把退休审核关和虚报冒领关。</w:t>
      </w:r>
    </w:p>
    <w:p>
      <w:pPr>
        <w:widowControl/>
        <w:shd w:val="clear" w:color="auto" w:fill="FFFFFF"/>
        <w:spacing w:line="480" w:lineRule="auto"/>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lang w:val="en-US" w:eastAsia="zh-CN"/>
        </w:rPr>
        <w:t>3</w:t>
      </w:r>
      <w:r>
        <w:rPr>
          <w:rFonts w:hint="eastAsia" w:ascii="仿宋" w:hAnsi="仿宋" w:eastAsia="仿宋" w:cs="宋体"/>
          <w:color w:val="333333"/>
          <w:kern w:val="0"/>
          <w:sz w:val="34"/>
          <w:szCs w:val="34"/>
        </w:rPr>
        <w:t>、加强内部控制，确保基金安全</w:t>
      </w:r>
    </w:p>
    <w:p>
      <w:pPr>
        <w:widowControl/>
        <w:shd w:val="clear" w:color="auto" w:fill="FFFFFF"/>
        <w:spacing w:line="480" w:lineRule="auto"/>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一是严格按照基金收支两条线管理的要求管理基金，不断加强内部监督，做到了账目明晰、日清月结、准确无误。</w:t>
      </w:r>
    </w:p>
    <w:p>
      <w:pPr>
        <w:widowControl/>
        <w:shd w:val="clear" w:color="auto" w:fill="FFFFFF"/>
        <w:spacing w:line="480" w:lineRule="auto"/>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二是强化稽核稽查。督促各镇场街道做好了死亡申报工作及相关公示工作，按照“生存认证办法”对待遇享受人员资格进行严格审验。</w:t>
      </w:r>
    </w:p>
    <w:p>
      <w:pPr>
        <w:widowControl/>
        <w:shd w:val="clear" w:color="auto" w:fill="FFFFFF"/>
        <w:spacing w:line="480" w:lineRule="auto"/>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三是内控管理为基础，进一步筑牢基金“安全门”。我们加强与财政、审计部门衔接沟通，切实强化城乡居保基金管理。</w:t>
      </w:r>
    </w:p>
    <w:p>
      <w:pPr>
        <w:widowControl/>
        <w:shd w:val="clear" w:color="auto" w:fill="FFFFFF"/>
        <w:spacing w:line="480" w:lineRule="auto"/>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（二）财政预算绩效管理情况</w:t>
      </w:r>
    </w:p>
    <w:p>
      <w:pPr>
        <w:widowControl/>
        <w:shd w:val="clear" w:color="auto" w:fill="FFFFFF"/>
        <w:spacing w:line="480" w:lineRule="auto"/>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20</w:t>
      </w:r>
      <w:r>
        <w:rPr>
          <w:rFonts w:hint="eastAsia" w:ascii="仿宋" w:hAnsi="仿宋" w:eastAsia="仿宋" w:cs="宋体"/>
          <w:color w:val="333333"/>
          <w:kern w:val="0"/>
          <w:sz w:val="34"/>
          <w:szCs w:val="34"/>
          <w:lang w:val="en-US" w:eastAsia="zh-CN"/>
        </w:rPr>
        <w:t>20</w:t>
      </w:r>
      <w:r>
        <w:rPr>
          <w:rFonts w:hint="eastAsia" w:ascii="仿宋" w:hAnsi="仿宋" w:eastAsia="仿宋" w:cs="宋体"/>
          <w:color w:val="333333"/>
          <w:kern w:val="0"/>
          <w:sz w:val="34"/>
          <w:szCs w:val="34"/>
        </w:rPr>
        <w:t>年我单位认真贯彻执行《会计法》、《预算法》、《行政单位会计制度》等法律法规，认真进行了预算编制，建立健全了单位财务制度，加强了财政专项资金管理，严格按预算进度支付费用，加强了“三公”经费控制，各项经费支出严格按照政府采购、国库集中支付、公务卡支付等有关规定执行,预算执行完成和控制较好。</w:t>
      </w:r>
    </w:p>
    <w:p>
      <w:pPr>
        <w:widowControl/>
        <w:shd w:val="clear" w:color="auto" w:fill="FFFFFF"/>
        <w:spacing w:line="480" w:lineRule="auto"/>
        <w:ind w:firstLine="512"/>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五、存在的问题</w:t>
      </w:r>
    </w:p>
    <w:p>
      <w:pPr>
        <w:widowControl/>
        <w:shd w:val="clear" w:color="auto" w:fill="FFFFFF"/>
        <w:spacing w:line="480" w:lineRule="auto"/>
        <w:ind w:firstLine="512"/>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（一）预算执行存在偏差。由于年初预算安排经费不足，导致实际经费支出高于年初预算，预算编制与实际情况存在偏差。</w:t>
      </w:r>
    </w:p>
    <w:p>
      <w:pPr>
        <w:widowControl/>
        <w:shd w:val="clear" w:color="auto" w:fill="FFFFFF"/>
        <w:spacing w:line="480" w:lineRule="auto"/>
        <w:ind w:firstLine="512"/>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（二）政府采购预算不足。在政府采购执行中，由于预算估计不足，购置的资产数量与预算编制的采购计划存在差异。</w:t>
      </w:r>
    </w:p>
    <w:p>
      <w:pPr>
        <w:widowControl/>
        <w:shd w:val="clear" w:color="auto" w:fill="FFFFFF"/>
        <w:spacing w:line="480" w:lineRule="auto"/>
        <w:ind w:firstLine="512"/>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（三）绩效目标设立不够细化和量化。</w:t>
      </w:r>
    </w:p>
    <w:p>
      <w:pPr>
        <w:widowControl/>
        <w:shd w:val="clear" w:color="auto" w:fill="FFFFFF"/>
        <w:spacing w:line="480" w:lineRule="auto"/>
        <w:ind w:firstLine="512"/>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六、改进措施和有关建议</w:t>
      </w:r>
    </w:p>
    <w:p>
      <w:pPr>
        <w:widowControl/>
        <w:shd w:val="clear" w:color="auto" w:fill="FFFFFF"/>
        <w:spacing w:line="480" w:lineRule="auto"/>
        <w:ind w:firstLine="512"/>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（一）进一步强化预算管理，提高单位预算执行力度。</w:t>
      </w:r>
    </w:p>
    <w:p>
      <w:pPr>
        <w:widowControl/>
        <w:shd w:val="clear" w:color="auto" w:fill="FFFFFF"/>
        <w:spacing w:line="480" w:lineRule="auto"/>
        <w:ind w:firstLine="512"/>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（二）进一步做好政府采购预算，严格按照预算实施政府采购。</w:t>
      </w:r>
    </w:p>
    <w:p>
      <w:pPr>
        <w:widowControl/>
        <w:shd w:val="clear" w:color="auto" w:fill="FFFFFF"/>
        <w:spacing w:line="560" w:lineRule="atLeast"/>
        <w:ind w:firstLine="510" w:firstLineChars="150"/>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（三）进一步规范绩效目标编制，在编制项目资金绩效目标时要求指向明确、细化量化、合理可行、相应匹配。</w:t>
      </w:r>
    </w:p>
    <w:p>
      <w:pPr>
        <w:widowControl/>
        <w:shd w:val="clear" w:color="auto" w:fill="FFFFFF"/>
        <w:spacing w:line="480" w:lineRule="auto"/>
        <w:ind w:firstLine="512"/>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（四）组织岗位实务学习与培训，及时更新业务知识，让财务人员通过学习能够科学合理地编制部门预算，切实提高部门预算收支管理水平。</w:t>
      </w:r>
    </w:p>
    <w:p>
      <w:pPr>
        <w:widowControl/>
        <w:shd w:val="clear" w:color="auto" w:fill="FFFFFF"/>
        <w:spacing w:line="480" w:lineRule="auto"/>
        <w:ind w:firstLine="4420" w:firstLineChars="1300"/>
        <w:jc w:val="center"/>
        <w:rPr>
          <w:rFonts w:ascii="微软雅黑" w:hAnsi="微软雅黑" w:eastAsia="微软雅黑" w:cs="宋体"/>
          <w:kern w:val="0"/>
          <w:sz w:val="34"/>
          <w:szCs w:val="34"/>
        </w:rPr>
      </w:pPr>
      <w:r>
        <w:rPr>
          <w:rFonts w:hint="eastAsia" w:ascii="仿宋" w:hAnsi="仿宋" w:eastAsia="仿宋" w:cs="宋体"/>
          <w:color w:val="333333"/>
          <w:kern w:val="0"/>
          <w:sz w:val="34"/>
          <w:szCs w:val="34"/>
        </w:rPr>
        <w:t>沅江市社会保险服务中心</w:t>
      </w:r>
    </w:p>
    <w:p>
      <w:pPr>
        <w:widowControl/>
        <w:shd w:val="clear" w:color="auto" w:fill="FFFFFF"/>
        <w:spacing w:line="576" w:lineRule="atLeast"/>
        <w:jc w:val="center"/>
        <w:rPr>
          <w:rFonts w:ascii="微软雅黑" w:hAnsi="微软雅黑" w:eastAsia="微软雅黑" w:cs="宋体"/>
          <w:kern w:val="0"/>
          <w:sz w:val="34"/>
          <w:szCs w:val="34"/>
        </w:rPr>
      </w:pPr>
      <w:r>
        <w:rPr>
          <w:rFonts w:hint="eastAsia" w:ascii="宋体" w:hAnsi="宋体" w:eastAsia="宋体" w:cs="宋体"/>
          <w:color w:val="333333"/>
          <w:kern w:val="0"/>
          <w:sz w:val="34"/>
          <w:szCs w:val="34"/>
          <w:lang w:val="en-US" w:eastAsia="zh-CN"/>
        </w:rPr>
        <w:t xml:space="preserve">                            2</w:t>
      </w:r>
      <w:r>
        <w:rPr>
          <w:rFonts w:hint="eastAsia" w:ascii="仿宋" w:hAnsi="仿宋" w:eastAsia="仿宋" w:cs="仿宋"/>
          <w:color w:val="333333"/>
          <w:kern w:val="0"/>
          <w:sz w:val="34"/>
          <w:szCs w:val="34"/>
        </w:rPr>
        <w:t>02</w:t>
      </w:r>
      <w:r>
        <w:rPr>
          <w:rFonts w:hint="eastAsia" w:ascii="仿宋" w:hAnsi="仿宋" w:eastAsia="仿宋" w:cs="仿宋"/>
          <w:color w:val="333333"/>
          <w:kern w:val="0"/>
          <w:sz w:val="34"/>
          <w:szCs w:val="34"/>
          <w:lang w:val="en-US" w:eastAsia="zh-CN"/>
        </w:rPr>
        <w:t>1</w:t>
      </w:r>
      <w:r>
        <w:rPr>
          <w:rFonts w:hint="eastAsia" w:ascii="仿宋" w:hAnsi="仿宋" w:eastAsia="仿宋" w:cs="宋体"/>
          <w:color w:val="333333"/>
          <w:kern w:val="0"/>
          <w:sz w:val="34"/>
          <w:szCs w:val="34"/>
        </w:rPr>
        <w:t>年</w:t>
      </w:r>
      <w:r>
        <w:rPr>
          <w:rFonts w:hint="eastAsia" w:ascii="仿宋" w:hAnsi="仿宋" w:eastAsia="仿宋" w:cs="宋体"/>
          <w:color w:val="333333"/>
          <w:kern w:val="0"/>
          <w:sz w:val="34"/>
          <w:szCs w:val="34"/>
          <w:lang w:val="en-US" w:eastAsia="zh-CN"/>
        </w:rPr>
        <w:t>7</w:t>
      </w:r>
      <w:r>
        <w:rPr>
          <w:rFonts w:hint="eastAsia" w:ascii="仿宋" w:hAnsi="仿宋" w:eastAsia="仿宋" w:cs="宋体"/>
          <w:color w:val="333333"/>
          <w:kern w:val="0"/>
          <w:sz w:val="34"/>
          <w:szCs w:val="34"/>
        </w:rPr>
        <w:t>月</w:t>
      </w:r>
      <w:r>
        <w:rPr>
          <w:rFonts w:hint="eastAsia" w:ascii="仿宋" w:hAnsi="仿宋" w:eastAsia="仿宋" w:cs="宋体"/>
          <w:color w:val="333333"/>
          <w:kern w:val="0"/>
          <w:sz w:val="34"/>
          <w:szCs w:val="34"/>
          <w:lang w:val="en-US" w:eastAsia="zh-CN"/>
        </w:rPr>
        <w:t>15</w:t>
      </w:r>
      <w:r>
        <w:rPr>
          <w:rFonts w:hint="eastAsia" w:ascii="仿宋" w:hAnsi="仿宋" w:eastAsia="仿宋" w:cs="宋体"/>
          <w:color w:val="333333"/>
          <w:kern w:val="0"/>
          <w:sz w:val="34"/>
          <w:szCs w:val="34"/>
        </w:rPr>
        <w:t>日</w:t>
      </w:r>
    </w:p>
    <w:p>
      <w:pPr>
        <w:ind w:firstLine="640" w:firstLineChars="200"/>
        <w:jc w:val="left"/>
        <w:rPr>
          <w:rFonts w:cs="黑体" w:asciiTheme="minorEastAsia" w:hAnsiTheme="minorEastAsia"/>
          <w:color w:val="000000"/>
          <w:kern w:val="0"/>
          <w:sz w:val="32"/>
          <w:szCs w:val="32"/>
        </w:rPr>
      </w:pPr>
      <w:bookmarkStart w:id="3" w:name="_GoBack"/>
      <w:bookmarkEnd w:id="3"/>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92DCC"/>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955"/>
    <w:rsid w:val="003C4FC2"/>
    <w:rsid w:val="00416E61"/>
    <w:rsid w:val="0042790C"/>
    <w:rsid w:val="004506F9"/>
    <w:rsid w:val="004717A2"/>
    <w:rsid w:val="00473DF3"/>
    <w:rsid w:val="0048314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36E88"/>
    <w:rsid w:val="00A42218"/>
    <w:rsid w:val="00A70249"/>
    <w:rsid w:val="00A70B02"/>
    <w:rsid w:val="00A71D9F"/>
    <w:rsid w:val="00A92E9F"/>
    <w:rsid w:val="00B33BEA"/>
    <w:rsid w:val="00B57C9F"/>
    <w:rsid w:val="00B63572"/>
    <w:rsid w:val="00B845B3"/>
    <w:rsid w:val="00B85D8B"/>
    <w:rsid w:val="00BB4A40"/>
    <w:rsid w:val="00BD6C3E"/>
    <w:rsid w:val="00BE3674"/>
    <w:rsid w:val="00BE6BF2"/>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6D80163"/>
    <w:rsid w:val="0BDF5890"/>
    <w:rsid w:val="0DA62296"/>
    <w:rsid w:val="10614A1F"/>
    <w:rsid w:val="14DB26B8"/>
    <w:rsid w:val="16B47C18"/>
    <w:rsid w:val="1C4033CD"/>
    <w:rsid w:val="1D45264C"/>
    <w:rsid w:val="1EB82551"/>
    <w:rsid w:val="20221BF6"/>
    <w:rsid w:val="226557A7"/>
    <w:rsid w:val="25812BB6"/>
    <w:rsid w:val="25B40D30"/>
    <w:rsid w:val="270F0292"/>
    <w:rsid w:val="276C7AD6"/>
    <w:rsid w:val="29D313FD"/>
    <w:rsid w:val="2A3721D4"/>
    <w:rsid w:val="2B4038E4"/>
    <w:rsid w:val="2C741131"/>
    <w:rsid w:val="372E1850"/>
    <w:rsid w:val="3B5A7A64"/>
    <w:rsid w:val="3C716238"/>
    <w:rsid w:val="3D2C24B6"/>
    <w:rsid w:val="3F0943BC"/>
    <w:rsid w:val="433001AF"/>
    <w:rsid w:val="437649BA"/>
    <w:rsid w:val="447218A8"/>
    <w:rsid w:val="466D2A16"/>
    <w:rsid w:val="480E7A8A"/>
    <w:rsid w:val="48EE5D3B"/>
    <w:rsid w:val="4B99614B"/>
    <w:rsid w:val="4D32294C"/>
    <w:rsid w:val="51D07DBE"/>
    <w:rsid w:val="534713D0"/>
    <w:rsid w:val="552527C3"/>
    <w:rsid w:val="56064A14"/>
    <w:rsid w:val="5C8A5F6C"/>
    <w:rsid w:val="607D26A2"/>
    <w:rsid w:val="62053B05"/>
    <w:rsid w:val="63281B53"/>
    <w:rsid w:val="67235E7A"/>
    <w:rsid w:val="68331344"/>
    <w:rsid w:val="69EE64A6"/>
    <w:rsid w:val="6BFF1F84"/>
    <w:rsid w:val="6C905178"/>
    <w:rsid w:val="6D4255B7"/>
    <w:rsid w:val="6E3B174A"/>
    <w:rsid w:val="6F311E4C"/>
    <w:rsid w:val="731D3573"/>
    <w:rsid w:val="7367090F"/>
    <w:rsid w:val="76F920A2"/>
    <w:rsid w:val="77E632A8"/>
    <w:rsid w:val="78B97382"/>
    <w:rsid w:val="796B00B8"/>
    <w:rsid w:val="7D567D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paragraph" w:customStyle="1" w:styleId="10">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1212</Words>
  <Characters>6911</Characters>
  <Lines>57</Lines>
  <Paragraphs>16</Paragraphs>
  <TotalTime>0</TotalTime>
  <ScaleCrop>false</ScaleCrop>
  <LinksUpToDate>false</LinksUpToDate>
  <CharactersWithSpaces>8107</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2021-08-03T01:03:00Z</dcterms:created>
  <dc:creator>李航 null</dc:creator>
  <cp:lastModifiedBy>Administrator</cp:lastModifiedBy>
  <cp:lastPrinted>2021-08-19T05:50:00Z</cp:lastPrinted>
  <dcterms:modified xsi:type="dcterms:W3CDTF">2021-11-18T04:03:55Z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E440487EB1DC4423B9383CF90202DC76</vt:lpwstr>
  </property>
</Properties>
</file>