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sz w:val="56"/>
          <w:szCs w:val="56"/>
        </w:rPr>
      </w:pPr>
    </w:p>
    <w:p>
      <w:pPr>
        <w:pStyle w:val="10"/>
        <w:jc w:val="center"/>
        <w:rPr>
          <w:sz w:val="56"/>
          <w:szCs w:val="56"/>
        </w:rPr>
      </w:pPr>
    </w:p>
    <w:p>
      <w:pPr>
        <w:pStyle w:val="10"/>
        <w:jc w:val="center"/>
        <w:rPr>
          <w:sz w:val="84"/>
          <w:szCs w:val="84"/>
        </w:rPr>
      </w:pPr>
    </w:p>
    <w:p>
      <w:pPr>
        <w:pStyle w:val="10"/>
        <w:jc w:val="center"/>
        <w:rPr>
          <w:sz w:val="84"/>
          <w:szCs w:val="84"/>
        </w:rPr>
      </w:pPr>
    </w:p>
    <w:p>
      <w:pPr>
        <w:pStyle w:val="10"/>
        <w:jc w:val="center"/>
        <w:rPr>
          <w:sz w:val="84"/>
          <w:szCs w:val="84"/>
        </w:rPr>
      </w:pPr>
      <w:r>
        <w:rPr>
          <w:rFonts w:hint="eastAsia"/>
          <w:sz w:val="84"/>
          <w:szCs w:val="84"/>
        </w:rPr>
        <w:t>2020年度</w:t>
      </w:r>
    </w:p>
    <w:p>
      <w:pPr>
        <w:pStyle w:val="10"/>
        <w:jc w:val="center"/>
        <w:rPr>
          <w:sz w:val="84"/>
          <w:szCs w:val="84"/>
        </w:rPr>
      </w:pPr>
      <w:r>
        <w:rPr>
          <w:rFonts w:hint="eastAsia"/>
          <w:sz w:val="84"/>
          <w:szCs w:val="84"/>
          <w:lang w:eastAsia="zh-CN"/>
        </w:rPr>
        <w:t>沅江市交通运输局</w:t>
      </w:r>
      <w:r>
        <w:rPr>
          <w:rFonts w:hint="eastAsia"/>
          <w:sz w:val="84"/>
          <w:szCs w:val="84"/>
        </w:rPr>
        <w:t>部门决算</w:t>
      </w:r>
    </w:p>
    <w:p>
      <w:pPr>
        <w:pStyle w:val="10"/>
        <w:jc w:val="center"/>
        <w:rPr>
          <w:sz w:val="56"/>
          <w:szCs w:val="56"/>
        </w:rPr>
      </w:pPr>
    </w:p>
    <w:p>
      <w:pPr>
        <w:pStyle w:val="10"/>
        <w:jc w:val="center"/>
        <w:rPr>
          <w:sz w:val="56"/>
          <w:szCs w:val="56"/>
        </w:rPr>
      </w:pPr>
    </w:p>
    <w:p>
      <w:pPr>
        <w:pStyle w:val="10"/>
        <w:jc w:val="center"/>
        <w:rPr>
          <w:sz w:val="56"/>
          <w:szCs w:val="56"/>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jc w:val="center"/>
        <w:rPr>
          <w:sz w:val="32"/>
          <w:szCs w:val="32"/>
        </w:rPr>
      </w:pPr>
    </w:p>
    <w:p>
      <w:pPr>
        <w:pStyle w:val="10"/>
        <w:spacing w:line="540" w:lineRule="exact"/>
        <w:jc w:val="center"/>
        <w:rPr>
          <w:sz w:val="56"/>
          <w:szCs w:val="56"/>
        </w:rPr>
      </w:pPr>
    </w:p>
    <w:p>
      <w:pPr>
        <w:pStyle w:val="10"/>
        <w:spacing w:line="500" w:lineRule="exact"/>
        <w:jc w:val="center"/>
        <w:rPr>
          <w:b/>
          <w:sz w:val="36"/>
          <w:szCs w:val="28"/>
        </w:rPr>
      </w:pPr>
    </w:p>
    <w:p>
      <w:pPr>
        <w:pStyle w:val="10"/>
        <w:spacing w:line="500" w:lineRule="exact"/>
        <w:jc w:val="center"/>
        <w:rPr>
          <w:b/>
          <w:sz w:val="36"/>
          <w:szCs w:val="28"/>
        </w:rPr>
      </w:pPr>
    </w:p>
    <w:p>
      <w:pPr>
        <w:pStyle w:val="10"/>
        <w:spacing w:line="500" w:lineRule="exact"/>
        <w:jc w:val="center"/>
        <w:rPr>
          <w:b/>
          <w:sz w:val="36"/>
          <w:szCs w:val="28"/>
        </w:rPr>
      </w:pPr>
      <w:r>
        <w:rPr>
          <w:rFonts w:hint="eastAsia"/>
          <w:b/>
          <w:sz w:val="36"/>
          <w:szCs w:val="28"/>
        </w:rPr>
        <w:t>目录</w:t>
      </w:r>
    </w:p>
    <w:p>
      <w:pPr>
        <w:pStyle w:val="10"/>
        <w:spacing w:line="500" w:lineRule="exact"/>
        <w:rPr>
          <w:rFonts w:ascii="仿宋_GB2312" w:hAnsi="仿宋_GB2312" w:cs="仿宋_GB2312"/>
          <w:b/>
          <w:sz w:val="28"/>
          <w:szCs w:val="28"/>
        </w:rPr>
      </w:pPr>
      <w:r>
        <w:rPr>
          <w:rFonts w:hint="eastAsia"/>
          <w:b/>
          <w:sz w:val="28"/>
          <w:szCs w:val="28"/>
        </w:rPr>
        <w:t>第一部分</w:t>
      </w:r>
      <w:r>
        <w:rPr>
          <w:rFonts w:hint="eastAsia"/>
          <w:b/>
          <w:sz w:val="28"/>
          <w:szCs w:val="28"/>
          <w:lang w:eastAsia="zh-CN"/>
        </w:rPr>
        <w:t>沅江市交通运输局</w:t>
      </w:r>
      <w:r>
        <w:rPr>
          <w:rFonts w:hint="eastAsia"/>
          <w:b/>
          <w:sz w:val="28"/>
          <w:szCs w:val="28"/>
        </w:rPr>
        <w:t>单位概况</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10"/>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10"/>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10"/>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10"/>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关于机关运行经费支出说明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十一、关于政府采购支出说明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十二、关于国有资产占用情况说明</w:t>
      </w:r>
    </w:p>
    <w:p>
      <w:pPr>
        <w:pStyle w:val="10"/>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十三、关</w:t>
      </w:r>
      <w:r>
        <w:rPr>
          <w:rFonts w:hint="eastAsia" w:cs="仿宋_GB2312" w:asciiTheme="minorEastAsia" w:hAnsiTheme="minorEastAsia" w:eastAsiaTheme="minorEastAsia"/>
          <w:sz w:val="28"/>
          <w:szCs w:val="28"/>
        </w:rPr>
        <w:t>于2020年</w:t>
      </w:r>
      <w:r>
        <w:rPr>
          <w:rFonts w:hint="eastAsia" w:ascii="仿宋_GB2312" w:hAnsi="仿宋_GB2312" w:cs="仿宋_GB2312" w:eastAsiaTheme="minorEastAsia"/>
          <w:sz w:val="28"/>
          <w:szCs w:val="28"/>
        </w:rPr>
        <w:t>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10"/>
        <w:jc w:val="center"/>
        <w:rPr>
          <w:sz w:val="84"/>
          <w:szCs w:val="84"/>
        </w:rPr>
      </w:pPr>
      <w:r>
        <w:rPr>
          <w:rFonts w:hint="eastAsia"/>
          <w:sz w:val="84"/>
          <w:szCs w:val="84"/>
        </w:rPr>
        <w:t>第一部分</w:t>
      </w:r>
    </w:p>
    <w:p>
      <w:pPr>
        <w:pStyle w:val="10"/>
        <w:jc w:val="center"/>
        <w:rPr>
          <w:sz w:val="84"/>
          <w:szCs w:val="84"/>
        </w:rPr>
      </w:pPr>
    </w:p>
    <w:p>
      <w:pPr>
        <w:pStyle w:val="10"/>
        <w:jc w:val="center"/>
        <w:rPr>
          <w:sz w:val="84"/>
          <w:szCs w:val="84"/>
        </w:rPr>
      </w:pPr>
      <w:r>
        <w:rPr>
          <w:rFonts w:hint="eastAsia"/>
          <w:sz w:val="84"/>
          <w:szCs w:val="84"/>
          <w:lang w:eastAsia="zh-CN"/>
        </w:rPr>
        <w:t>沅江市交通运输局</w:t>
      </w:r>
      <w:r>
        <w:rPr>
          <w:rFonts w:hint="eastAsia"/>
          <w:sz w:val="84"/>
          <w:szCs w:val="84"/>
        </w:rPr>
        <w:t>单位概况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ind w:left="720" w:firstLine="0" w:firstLineChars="0"/>
        <w:jc w:val="left"/>
        <w:rPr>
          <w:rFonts w:ascii="黑体" w:hAnsi="黑体" w:eastAsia="黑体"/>
          <w:sz w:val="32"/>
          <w:szCs w:val="32"/>
        </w:rPr>
      </w:pPr>
    </w:p>
    <w:p>
      <w:pPr>
        <w:pStyle w:val="11"/>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（一）贯彻执行国家、省市交通运输法律、法规和政策；参与起草交通运输地方性法规、制度；拟定全市交通运输行业管理规范性文件。</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（二）根据权限负责全市交通运输行业行政许可、行政处罚、行政强制、行政检查和实施其他行政权力；委托授权相关单位实施行政处罚、行政强制、行政检查和其他行政权力；负责全市交通行政执法检查监督。</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三）组织拟订全市综合交通运输发展规划，指导协调执行交通运输规划，组织编制全市公路、水路等交通基础设施发展年度计划并监督实施；参与拟订和实施全市物流业发展战略和规划，拟定有关物流发展的政策和标准并监督实施；负责交通运输行业统计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四）负责全市交通基础设施建设和质量安全监管，负责监督执行交通基础设施建设与维护的技术规范和标准，维护交通建设市秩序，负责交通工程造价、工程质量、安全生产的监督管理；组织指导全市交通设施的维护；承担全市公路、水路等交通基本建设项目的绩效监督和管理。</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五）负责全市道路运输市场管理。负责机动车维护和营运车辆检测等行业管理；负责道路运输行业从业人员技术培训和定级管理；监督执行交通运输政策、技术规范和技术标准，优化交通运输行业结构；组织指导全市城乡客货运输；组织协调国家重点物质和应急客货运输，维护交通运输市场秩序。</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六）负责全市水路运输市场管理。负责辖区内水上交通企业、营运船舶的审批管理；负责组织协调水上重点物资、防汛抢险的船舶调运工作；负责水运综合统计和统计信息系统的管理工作；负责水上交通运输安全监督管理。</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（七）负责全市公路、水路等交通设施投资管理。负责提出交通固定资产规模、方向和财政性资金安排的建议；按市政府规定权限审批，核准交通固定资产投资项目；负责交通运输预算内资金的申请和拨付。</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（八）组织指导局所属单位职工培训、人才交流和劳资工作；负责所属单位干部管理。</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（九）拟定地方性交通运输行业科技政策和规划、组织重大科技开发、推动行业技术进步、推进交通运输信息化建设、指导行业内环境保护和节能减排工作。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（十）组织协调全市地方交通战备工作，指导开展对外交流合作。</w:t>
      </w:r>
    </w:p>
    <w:p>
      <w:pPr>
        <w:widowControl/>
        <w:spacing w:line="600" w:lineRule="exact"/>
        <w:ind w:firstLine="640" w:firstLineChars="200"/>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lang w:val="en-US" w:eastAsia="zh-CN"/>
        </w:rPr>
        <w:t>（十一）承办市委、市人民政府和上级业务主管部门交办的其他事项。</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2020年沅江市交通运输局由沅江市道路运输服务中心</w:t>
      </w:r>
      <w:r>
        <w:rPr>
          <w:rFonts w:hint="eastAsia" w:asciiTheme="minorEastAsia" w:hAnsiTheme="minorEastAsia"/>
          <w:bCs/>
          <w:kern w:val="0"/>
          <w:sz w:val="32"/>
          <w:szCs w:val="32"/>
          <w:lang w:val="zh-CN" w:eastAsia="zh-CN"/>
        </w:rPr>
        <w:t>，沅江市交通建设质量安全监督站，沅江市交通运输综合行政执法大队，沅江市水运事务中心</w:t>
      </w:r>
      <w:r>
        <w:rPr>
          <w:rFonts w:hint="eastAsia" w:asciiTheme="minorEastAsia" w:hAnsiTheme="minorEastAsia"/>
          <w:bCs/>
          <w:kern w:val="0"/>
          <w:sz w:val="32"/>
          <w:szCs w:val="32"/>
          <w:lang w:eastAsia="zh-CN"/>
        </w:rPr>
        <w:t>组成</w:t>
      </w:r>
      <w:r>
        <w:rPr>
          <w:rFonts w:hint="eastAsia" w:asciiTheme="minorEastAsia" w:hAnsiTheme="minorEastAsia"/>
          <w:bCs/>
          <w:kern w:val="0"/>
          <w:sz w:val="32"/>
          <w:szCs w:val="32"/>
          <w:lang w:val="en-US" w:eastAsia="zh-CN"/>
        </w:rPr>
        <w:t>。</w:t>
      </w:r>
    </w:p>
    <w:p>
      <w:pPr>
        <w:widowControl/>
        <w:spacing w:line="600" w:lineRule="exact"/>
        <w:ind w:firstLine="640" w:firstLineChars="200"/>
        <w:rPr>
          <w:rFonts w:asciiTheme="minorEastAsia" w:hAnsiTheme="minorEastAsia"/>
          <w:bCs/>
          <w:kern w:val="0"/>
          <w:sz w:val="32"/>
          <w:szCs w:val="32"/>
        </w:rPr>
      </w:pPr>
      <w:r>
        <w:rPr>
          <w:rFonts w:hint="eastAsia" w:asciiTheme="minorEastAsia" w:hAnsiTheme="minorEastAsia"/>
          <w:bCs/>
          <w:kern w:val="0"/>
          <w:sz w:val="32"/>
          <w:szCs w:val="32"/>
        </w:rPr>
        <w:t>（二）决算单位构成。</w:t>
      </w:r>
      <w:r>
        <w:rPr>
          <w:rFonts w:hint="eastAsia" w:asciiTheme="minorEastAsia" w:hAnsiTheme="minorEastAsia"/>
          <w:bCs/>
          <w:kern w:val="0"/>
          <w:sz w:val="32"/>
          <w:szCs w:val="32"/>
          <w:lang w:eastAsia="zh-CN"/>
        </w:rPr>
        <w:t>沅江市交通运输局</w:t>
      </w:r>
      <w:r>
        <w:rPr>
          <w:rFonts w:asciiTheme="minorEastAsia" w:hAnsiTheme="minorEastAsia"/>
          <w:bCs/>
          <w:kern w:val="0"/>
          <w:sz w:val="32"/>
          <w:szCs w:val="32"/>
        </w:rPr>
        <w:t>20</w:t>
      </w:r>
      <w:r>
        <w:rPr>
          <w:rFonts w:hint="eastAsia" w:asciiTheme="minorEastAsia" w:hAnsiTheme="minorEastAsia"/>
          <w:bCs/>
          <w:kern w:val="0"/>
          <w:sz w:val="32"/>
          <w:szCs w:val="32"/>
        </w:rPr>
        <w:t>20年部门决算汇总公开单位构成包括：</w:t>
      </w:r>
      <w:r>
        <w:rPr>
          <w:rFonts w:hint="eastAsia" w:asciiTheme="minorEastAsia" w:hAnsiTheme="minorEastAsia"/>
          <w:bCs/>
          <w:kern w:val="0"/>
          <w:sz w:val="32"/>
          <w:szCs w:val="32"/>
          <w:lang w:eastAsia="zh-CN"/>
        </w:rPr>
        <w:t>沅江市交通运输局</w:t>
      </w:r>
      <w:r>
        <w:rPr>
          <w:rFonts w:hint="eastAsia" w:asciiTheme="minorEastAsia" w:hAnsiTheme="minorEastAsia"/>
          <w:bCs/>
          <w:kern w:val="0"/>
          <w:sz w:val="32"/>
          <w:szCs w:val="32"/>
        </w:rPr>
        <w:t>单位本级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沅江市交通运输局</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8555.42</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23.30</w:t>
            </w: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1340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left"/>
              <w:rPr>
                <w:rFonts w:hint="default" w:ascii="宋体" w:hAnsi="宋体" w:eastAsia="宋体" w:cs="宋体"/>
                <w:kern w:val="0"/>
                <w:sz w:val="22"/>
                <w:lang w:val="en-US" w:eastAsia="zh-CN"/>
              </w:rPr>
            </w:pPr>
            <w:r>
              <w:rPr>
                <w:rFonts w:hint="eastAsia" w:ascii="宋体" w:hAnsi="宋体" w:eastAsia="宋体" w:cs="宋体"/>
                <w:kern w:val="0"/>
                <w:sz w:val="22"/>
              </w:rPr>
              <w:t>　</w:t>
            </w:r>
            <w:r>
              <w:rPr>
                <w:rFonts w:hint="eastAsia" w:ascii="宋体" w:hAnsi="宋体" w:eastAsia="宋体" w:cs="宋体"/>
                <w:kern w:val="0"/>
                <w:sz w:val="22"/>
                <w:lang w:val="en-US" w:eastAsia="zh-CN"/>
              </w:rPr>
              <w:t>140.45</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2"/>
              </w:rPr>
            </w:pP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b/>
                <w:bCs/>
                <w:kern w:val="0"/>
                <w:sz w:val="22"/>
                <w:lang w:val="en-US" w:eastAsia="zh-CN"/>
              </w:rPr>
            </w:pPr>
            <w:r>
              <w:rPr>
                <w:rFonts w:hint="eastAsia" w:ascii="宋体" w:hAnsi="宋体" w:eastAsia="宋体" w:cs="宋体"/>
                <w:kern w:val="0"/>
                <w:sz w:val="22"/>
                <w:lang w:val="en-US" w:eastAsia="zh-CN"/>
              </w:rPr>
              <w:t>642.67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1720.00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8471.02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160.08</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b/>
                <w:bCs/>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1340.00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10035.87</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12359.07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2323.20</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lang w:val="en-US" w:eastAsia="zh-CN"/>
              </w:rPr>
            </w:pPr>
            <w:r>
              <w:rPr>
                <w:rFonts w:hint="eastAsia" w:ascii="宋体" w:hAnsi="宋体" w:eastAsia="宋体" w:cs="宋体"/>
                <w:kern w:val="0"/>
                <w:sz w:val="22"/>
                <w:lang w:val="en-US" w:eastAsia="zh-CN"/>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12359.07</w:t>
            </w: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　12359.07</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6"/>
        <w:tblW w:w="15252" w:type="dxa"/>
        <w:tblInd w:w="0" w:type="dxa"/>
        <w:tblLayout w:type="fixed"/>
        <w:tblCellMar>
          <w:top w:w="0" w:type="dxa"/>
          <w:left w:w="0" w:type="dxa"/>
          <w:bottom w:w="0" w:type="dxa"/>
          <w:right w:w="0" w:type="dxa"/>
        </w:tblCellMar>
      </w:tblPr>
      <w:tblGrid>
        <w:gridCol w:w="1030"/>
        <w:gridCol w:w="73"/>
        <w:gridCol w:w="2554"/>
        <w:gridCol w:w="1680"/>
        <w:gridCol w:w="1785"/>
        <w:gridCol w:w="1530"/>
        <w:gridCol w:w="1560"/>
        <w:gridCol w:w="1650"/>
        <w:gridCol w:w="1785"/>
        <w:gridCol w:w="1605"/>
      </w:tblGrid>
      <w:tr>
        <w:tblPrEx>
          <w:tblCellMar>
            <w:top w:w="0" w:type="dxa"/>
            <w:left w:w="0" w:type="dxa"/>
            <w:bottom w:w="0" w:type="dxa"/>
            <w:right w:w="0" w:type="dxa"/>
          </w:tblCellMar>
        </w:tblPrEx>
        <w:trPr>
          <w:trHeight w:val="435" w:hRule="atLeast"/>
        </w:trPr>
        <w:tc>
          <w:tcPr>
            <w:tcW w:w="15252"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7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55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103"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2554"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lang w:eastAsia="zh-CN"/>
              </w:rPr>
              <w:t>沅江市交通运输局</w:t>
            </w:r>
            <w:r>
              <w:rPr>
                <w:rFonts w:hint="eastAsia"/>
              </w:rPr>
              <w:t>　</w:t>
            </w:r>
          </w:p>
        </w:tc>
        <w:tc>
          <w:tcPr>
            <w:tcW w:w="168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30"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56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5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78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657"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项目</w:t>
            </w:r>
          </w:p>
        </w:tc>
        <w:tc>
          <w:tcPr>
            <w:tcW w:w="168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78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3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56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5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78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103"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554"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103"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554"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8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3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78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65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8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7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3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56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65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78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3657"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10,035.87</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9,895.42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140.45</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23.30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23.30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20107</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税收事务</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22.70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22.70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2010799</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其他税收事务支出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22.70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22.70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节能环保支出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635.67</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635.67</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21199</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其他节能环保支出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635.67</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635.67</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2119901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635.67</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635.67</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农林水支出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1,720.00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1,720.00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农业农村</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2130135</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农业资源保护修复与利用</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20.00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扶贫</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1,700.00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2130504</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1,700.00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交通运输支出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6,156.82</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6,016.36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140.45</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公路水路运输</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5,406.88</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5,266.56</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140.31</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2140101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1,779.24</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1,773.94</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5.30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2140102</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1,285.63</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1,150.62</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135.01</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2140104</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890.00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890.00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2140199</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1,452.00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1,452.00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21404</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成品油价格改革对交通运输的补贴</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124.40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124.40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2140401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对城市公交的补贴</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109.00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2140499</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成品油价格改革补贴其他支出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15.40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15.40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21499</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其他交通运输支出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625.54</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625.40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0.14</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2149901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公共交通运营补助</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325.40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325.40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2149999</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300.14</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300.00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0.14</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160.08</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160.08</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160.08</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160.08</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160.08</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160.08</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1,340.00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1,340.00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23401</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基础设施建设</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1,340.00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1,340.00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450" w:hRule="atLeast"/>
        </w:trPr>
        <w:tc>
          <w:tcPr>
            <w:tcW w:w="1030"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2340109</w:t>
            </w:r>
          </w:p>
        </w:tc>
        <w:tc>
          <w:tcPr>
            <w:tcW w:w="262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 xml:space="preserve">  交通基础设施建设</w:t>
            </w:r>
          </w:p>
        </w:tc>
        <w:tc>
          <w:tcPr>
            <w:tcW w:w="168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1,340.00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1,340.00</w:t>
            </w:r>
          </w:p>
        </w:tc>
        <w:tc>
          <w:tcPr>
            <w:tcW w:w="153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6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5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78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0" w:type="dxa"/>
            <w:bottom w:w="0" w:type="dxa"/>
            <w:right w:w="0" w:type="dxa"/>
          </w:tblCellMar>
        </w:tblPrEx>
        <w:trPr>
          <w:trHeight w:val="615" w:hRule="atLeast"/>
        </w:trPr>
        <w:tc>
          <w:tcPr>
            <w:tcW w:w="15252"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6"/>
        <w:tblW w:w="14093" w:type="dxa"/>
        <w:tblInd w:w="93" w:type="dxa"/>
        <w:tblLayout w:type="fixed"/>
        <w:tblCellMar>
          <w:top w:w="0" w:type="dxa"/>
          <w:left w:w="108" w:type="dxa"/>
          <w:bottom w:w="0" w:type="dxa"/>
          <w:right w:w="108" w:type="dxa"/>
        </w:tblCellMar>
      </w:tblPr>
      <w:tblGrid>
        <w:gridCol w:w="1152"/>
        <w:gridCol w:w="240"/>
        <w:gridCol w:w="2340"/>
        <w:gridCol w:w="1770"/>
        <w:gridCol w:w="1635"/>
        <w:gridCol w:w="1590"/>
        <w:gridCol w:w="1665"/>
        <w:gridCol w:w="1590"/>
        <w:gridCol w:w="2111"/>
      </w:tblGrid>
      <w:tr>
        <w:tblPrEx>
          <w:tblCellMar>
            <w:top w:w="0" w:type="dxa"/>
            <w:left w:w="108" w:type="dxa"/>
            <w:bottom w:w="0" w:type="dxa"/>
            <w:right w:w="108" w:type="dxa"/>
          </w:tblCellMar>
        </w:tblPrEx>
        <w:trPr>
          <w:trHeight w:val="435" w:hRule="atLeast"/>
        </w:trPr>
        <w:tc>
          <w:tcPr>
            <w:tcW w:w="1409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15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1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15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40" w:type="dxa"/>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lang w:eastAsia="zh-CN"/>
              </w:rPr>
              <w:t>沅江市交通运输局</w:t>
            </w:r>
            <w:r>
              <w:rPr>
                <w:rFonts w:hint="eastAsia" w:ascii="宋体" w:hAnsi="宋体" w:eastAsia="宋体" w:cs="宋体"/>
                <w:kern w:val="0"/>
                <w:sz w:val="24"/>
                <w:szCs w:val="24"/>
              </w:rPr>
              <w:t>　</w:t>
            </w:r>
          </w:p>
        </w:tc>
        <w:tc>
          <w:tcPr>
            <w:tcW w:w="17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9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11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732"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77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6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59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11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39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34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3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77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5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73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77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6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66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9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211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450" w:hRule="atLeast"/>
        </w:trPr>
        <w:tc>
          <w:tcPr>
            <w:tcW w:w="3732"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12,359.07</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1,971.63</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10,387.45</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23.30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23.30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20107</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税收事务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2010799</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其他税收事务支出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22.70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组织事务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2013299</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0.60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节能环保支出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642.67</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635.67</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21110</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能源节约利用</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2111001</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能源节约利用</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21199</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其他节能环保支出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635.67</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635.67</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2119901</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635.67</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635.67</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农林水支出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1,720.00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1,720.00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农业农村</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152"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2130135</w:t>
            </w:r>
          </w:p>
        </w:tc>
        <w:tc>
          <w:tcPr>
            <w:tcW w:w="258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农业资源保护修复与利用</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扶贫</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1,700.00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2130504</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1,700.00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1,700.00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交通运输支出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8,471.02</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1,779.24</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6,691.78</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公路水路运输</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6,475.30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1,779.24</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4,696.06</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2140101</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1,779.24</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1,779.24</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2140102</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1,285.63</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1,285.63</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2140104</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890.00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890.00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2140199</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2,520.42</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2,520.42</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21404</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成品油价格改革对交通运输的补贴</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778.18</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778.18</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2140401</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对城市公交的补贴</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762.78</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762.78</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2140499</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成品油价格改革补贴其他支出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15.40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15.40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21406</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车辆购置税支出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2140602</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车辆购置税用于农村公路建设支出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592.00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21499</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其他交通运输支出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625.54</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625.54</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2149901</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公共交通运营补助</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325.40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325.40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2149999</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300.14</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300.14</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160.08</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160.08</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160.08</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160.08</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160.08</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160.08</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粮油物资储备支出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粮油事务</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2220199</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其他粮油事务支出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1,340.00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23401</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基础设施建设</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1,340.00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trPr>
        <w:tc>
          <w:tcPr>
            <w:tcW w:w="139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2340109</w:t>
            </w:r>
          </w:p>
        </w:tc>
        <w:tc>
          <w:tcPr>
            <w:tcW w:w="2340"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交通基础设施建设</w:t>
            </w:r>
          </w:p>
        </w:tc>
        <w:tc>
          <w:tcPr>
            <w:tcW w:w="177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1,340.00</w:t>
            </w:r>
          </w:p>
        </w:tc>
        <w:tc>
          <w:tcPr>
            <w:tcW w:w="16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1,340.00</w:t>
            </w:r>
          </w:p>
        </w:tc>
        <w:tc>
          <w:tcPr>
            <w:tcW w:w="166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159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c>
          <w:tcPr>
            <w:tcW w:w="211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30" w:hRule="atLeast"/>
        </w:trPr>
        <w:tc>
          <w:tcPr>
            <w:tcW w:w="1409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3" w:type="dxa"/>
        <w:tblLayout w:type="fixed"/>
        <w:tblCellMar>
          <w:top w:w="0" w:type="dxa"/>
          <w:left w:w="108" w:type="dxa"/>
          <w:bottom w:w="0" w:type="dxa"/>
          <w:right w:w="108" w:type="dxa"/>
        </w:tblCellMar>
      </w:tblPr>
      <w:tblGrid>
        <w:gridCol w:w="3591"/>
        <w:gridCol w:w="436"/>
        <w:gridCol w:w="1370"/>
        <w:gridCol w:w="220"/>
        <w:gridCol w:w="2911"/>
        <w:gridCol w:w="631"/>
        <w:gridCol w:w="435"/>
        <w:gridCol w:w="1571"/>
        <w:gridCol w:w="1392"/>
        <w:gridCol w:w="1392"/>
        <w:gridCol w:w="1572"/>
      </w:tblGrid>
      <w:tr>
        <w:tblPrEx>
          <w:tblCellMar>
            <w:top w:w="0" w:type="dxa"/>
            <w:left w:w="108" w:type="dxa"/>
            <w:bottom w:w="0" w:type="dxa"/>
            <w:right w:w="108" w:type="dxa"/>
          </w:tblCellMar>
        </w:tblPrEx>
        <w:trPr>
          <w:trHeight w:val="285" w:hRule="atLeast"/>
        </w:trPr>
        <w:tc>
          <w:tcPr>
            <w:tcW w:w="3591"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90"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2"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1"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2"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6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1" w:type="dxa"/>
            <w:tcBorders>
              <w:top w:val="nil"/>
              <w:left w:val="nil"/>
              <w:bottom w:val="nil"/>
              <w:right w:val="nil"/>
            </w:tcBorders>
            <w:shd w:val="clear" w:color="000000" w:fill="FFFFFF"/>
            <w:noWrap/>
            <w:vAlign w:val="center"/>
          </w:tcPr>
          <w:p>
            <w:pPr>
              <w:widowControl/>
              <w:jc w:val="left"/>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部门：</w:t>
            </w:r>
            <w:r>
              <w:rPr>
                <w:rFonts w:hint="eastAsia" w:ascii="宋体" w:hAnsi="宋体" w:eastAsia="宋体" w:cs="宋体"/>
                <w:color w:val="000000"/>
                <w:kern w:val="0"/>
                <w:sz w:val="20"/>
                <w:szCs w:val="20"/>
                <w:lang w:eastAsia="zh-CN"/>
              </w:rPr>
              <w:t>沅江市交通运输局</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7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3762"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2"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39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124"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37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8555.42</w:t>
            </w: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23.30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23.30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1340.00</w:t>
            </w: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九、卫生健康支出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十、节能环保支出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642.67</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642.67</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十二、农林水支出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1,720.00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1,720.00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8,161.57</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8,161.57</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十六、金融支出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160.08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160.08</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二十三、其他支出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hint="eastAsia" w:ascii="宋体" w:hAnsi="宋体" w:eastAsia="宋体" w:cs="宋体"/>
                <w:kern w:val="0"/>
                <w:sz w:val="22"/>
              </w:rPr>
            </w:pP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37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9895.42</w:t>
            </w: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12,049.62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10,709.62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1,340.00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2154.20</w:t>
            </w: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6"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1"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2154.20</w:t>
            </w: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61</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62</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6"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63</w:t>
            </w:r>
          </w:p>
        </w:tc>
        <w:tc>
          <w:tcPr>
            <w:tcW w:w="157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39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157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1"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37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lang w:val="en-US" w:eastAsia="zh-CN"/>
              </w:rPr>
              <w:t>12049.62</w:t>
            </w:r>
            <w:r>
              <w:rPr>
                <w:rFonts w:hint="eastAsia" w:ascii="宋体" w:hAnsi="宋体" w:eastAsia="宋体" w:cs="宋体"/>
                <w:kern w:val="0"/>
                <w:sz w:val="22"/>
              </w:rPr>
              <w:t>　</w:t>
            </w:r>
          </w:p>
        </w:tc>
        <w:tc>
          <w:tcPr>
            <w:tcW w:w="313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6"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hint="default" w:ascii="宋体" w:hAnsi="宋体" w:eastAsia="宋体" w:cs="宋体"/>
                <w:kern w:val="0"/>
                <w:sz w:val="22"/>
                <w:lang w:val="en-US" w:eastAsia="zh-CN"/>
              </w:rPr>
            </w:pPr>
            <w:r>
              <w:rPr>
                <w:rFonts w:hint="eastAsia" w:ascii="宋体" w:hAnsi="宋体" w:eastAsia="宋体" w:cs="宋体"/>
                <w:kern w:val="0"/>
                <w:sz w:val="22"/>
                <w:lang w:val="en-US" w:eastAsia="zh-CN"/>
              </w:rPr>
              <w:t>64</w:t>
            </w:r>
          </w:p>
        </w:tc>
        <w:tc>
          <w:tcPr>
            <w:tcW w:w="1571"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12,049.62</w:t>
            </w:r>
          </w:p>
        </w:tc>
        <w:tc>
          <w:tcPr>
            <w:tcW w:w="1392"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10,709.62</w:t>
            </w:r>
          </w:p>
        </w:tc>
        <w:tc>
          <w:tcPr>
            <w:tcW w:w="139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1,340.00</w:t>
            </w:r>
          </w:p>
        </w:tc>
        <w:tc>
          <w:tcPr>
            <w:tcW w:w="157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沅江市交通运输局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公开05表</w:t>
      </w:r>
    </w:p>
    <w:p>
      <w:pPr>
        <w:widowControl/>
        <w:ind w:firstLine="14280" w:firstLineChars="6800"/>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单位：万元</w:t>
      </w:r>
    </w:p>
    <w:tbl>
      <w:tblPr>
        <w:tblStyle w:val="6"/>
        <w:tblW w:w="14219" w:type="dxa"/>
        <w:jc w:val="center"/>
        <w:tblLayout w:type="autofit"/>
        <w:tblCellMar>
          <w:top w:w="0" w:type="dxa"/>
          <w:left w:w="108" w:type="dxa"/>
          <w:bottom w:w="0" w:type="dxa"/>
          <w:right w:w="108" w:type="dxa"/>
        </w:tblCellMar>
      </w:tblPr>
      <w:tblGrid>
        <w:gridCol w:w="986"/>
        <w:gridCol w:w="969"/>
        <w:gridCol w:w="3272"/>
        <w:gridCol w:w="2853"/>
        <w:gridCol w:w="3295"/>
        <w:gridCol w:w="2844"/>
      </w:tblGrid>
      <w:tr>
        <w:tblPrEx>
          <w:tblCellMar>
            <w:top w:w="0" w:type="dxa"/>
            <w:left w:w="108" w:type="dxa"/>
            <w:bottom w:w="0" w:type="dxa"/>
            <w:right w:w="108" w:type="dxa"/>
          </w:tblCellMar>
        </w:tblPrEx>
        <w:trPr>
          <w:trHeight w:val="405" w:hRule="atLeast"/>
          <w:jc w:val="center"/>
        </w:trPr>
        <w:tc>
          <w:tcPr>
            <w:tcW w:w="4727"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10,709.62</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1,966.33</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8,743.29</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5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23.30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23.30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20107</w:t>
            </w:r>
          </w:p>
        </w:tc>
        <w:tc>
          <w:tcPr>
            <w:tcW w:w="45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税收事务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2010799</w:t>
            </w:r>
          </w:p>
        </w:tc>
        <w:tc>
          <w:tcPr>
            <w:tcW w:w="45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其他税收事务支出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22.70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w:t>
            </w:r>
          </w:p>
        </w:tc>
        <w:tc>
          <w:tcPr>
            <w:tcW w:w="45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组织事务</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2013299</w:t>
            </w:r>
          </w:p>
        </w:tc>
        <w:tc>
          <w:tcPr>
            <w:tcW w:w="4583"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其他组织事务支出</w:t>
            </w:r>
          </w:p>
        </w:tc>
        <w:tc>
          <w:tcPr>
            <w:tcW w:w="30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49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0.60</w:t>
            </w:r>
          </w:p>
        </w:tc>
        <w:tc>
          <w:tcPr>
            <w:tcW w:w="3000"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节能环保支出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642.67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635.67</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21110</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能源节约利用</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2111001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能源节约利用</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21199</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其他节能环保支出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635.67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635.67</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2119901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其他节能环保支出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635.67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635.67</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农林水支出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1,720.00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1,720.00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农业农村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2130135</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农业资源保护修复与利用</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扶贫</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2130504</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农村基础设施建设</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1,700.00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交通运输支出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8,161.57</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1,773.94</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6,387.62</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公路水路运输</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6,306.99</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1,773.94</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4,533.04</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1,773.94</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1,773.94</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2140102</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1,150.62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1,150.62</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2140104</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公路建设</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890.00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2140199</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其他公路水路运输支出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2,492.42</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2,492.42</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21404</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成品油价格改革对交通运输的补贴</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637.18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637.18</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2140401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对城市公交的补贴</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621.78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621.78</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2140499</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成品油价格改革补贴其他支出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15.40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21406</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车辆购置税支出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2140602</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车辆购置税用于农村公路建设支出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592.00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21499</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其他交通运输支出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625.40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625.40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2149901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公共交通运营补助</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325.40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325.40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2149999</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其他交通运输支出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300.00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160.08</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160.08</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粮油物资储备支出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粮油事务</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450" w:hRule="atLeast"/>
          <w:jc w:val="center"/>
        </w:trPr>
        <w:tc>
          <w:tcPr>
            <w:tcW w:w="144" w:type="dxa"/>
            <w:tcBorders>
              <w:top w:val="single" w:color="auto" w:sz="4" w:space="0"/>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2220199</w:t>
            </w:r>
          </w:p>
        </w:tc>
        <w:tc>
          <w:tcPr>
            <w:tcW w:w="4583" w:type="dxa"/>
            <w:gridSpan w:val="2"/>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其他粮油事务支出</w:t>
            </w:r>
          </w:p>
        </w:tc>
        <w:tc>
          <w:tcPr>
            <w:tcW w:w="300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492"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2.00</w:t>
            </w:r>
          </w:p>
        </w:tc>
        <w:tc>
          <w:tcPr>
            <w:tcW w:w="3000"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6"/>
        <w:tblW w:w="0" w:type="auto"/>
        <w:tblInd w:w="0" w:type="dxa"/>
        <w:tblLayout w:type="autofit"/>
        <w:tblCellMar>
          <w:top w:w="0" w:type="dxa"/>
          <w:left w:w="108" w:type="dxa"/>
          <w:bottom w:w="0" w:type="dxa"/>
          <w:right w:w="108" w:type="dxa"/>
        </w:tblCellMar>
      </w:tblPr>
      <w:tblGrid>
        <w:gridCol w:w="1338"/>
        <w:gridCol w:w="3366"/>
        <w:gridCol w:w="1096"/>
        <w:gridCol w:w="770"/>
        <w:gridCol w:w="2316"/>
        <w:gridCol w:w="876"/>
        <w:gridCol w:w="770"/>
        <w:gridCol w:w="4206"/>
        <w:gridCol w:w="876"/>
      </w:tblGrid>
      <w:tr>
        <w:tblPrEx>
          <w:tblCellMar>
            <w:top w:w="0" w:type="dxa"/>
            <w:left w:w="108" w:type="dxa"/>
            <w:bottom w:w="0" w:type="dxa"/>
            <w:right w:w="108" w:type="dxa"/>
          </w:tblCellMar>
        </w:tblPrEx>
        <w:trPr>
          <w:trHeight w:val="113" w:hRule="atLeast"/>
        </w:trPr>
        <w:tc>
          <w:tcPr>
            <w:tcW w:w="0" w:type="auto"/>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沅江市交通运输局</w:t>
            </w:r>
            <w:r>
              <w:rPr>
                <w:rFonts w:hint="eastAsia" w:ascii="Times New Roman" w:hAnsi="Times New Roman" w:eastAsia="仿宋_GB2312" w:cs="Times New Roman"/>
                <w:color w:val="000000"/>
                <w:kern w:val="0"/>
                <w:szCs w:val="21"/>
                <w:lang w:val="en-US" w:eastAsia="zh-CN"/>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0" w:type="auto"/>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1,734.74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211.90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285.79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41.86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323.02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33.45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26.96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6.90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80.53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2.53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344.52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56.92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153.03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12.35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18.83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17.64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424.18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1.55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20.97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12.68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9.58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6.11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3.60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8.48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29.40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11.22</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4.85</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3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36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617"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12.19</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0" w:type="auto"/>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61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0" w:type="auto"/>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617"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1,747.43</w:t>
            </w:r>
          </w:p>
        </w:tc>
        <w:tc>
          <w:tcPr>
            <w:tcW w:w="0" w:type="auto"/>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61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18"/>
              </w:rPr>
            </w:pPr>
            <w:r>
              <w:rPr>
                <w:rFonts w:hint="eastAsia" w:ascii="宋体" w:hAnsi="宋体" w:eastAsia="宋体" w:cs="宋体"/>
                <w:i w:val="0"/>
                <w:iCs w:val="0"/>
                <w:color w:val="000000"/>
                <w:kern w:val="0"/>
                <w:sz w:val="22"/>
                <w:szCs w:val="22"/>
                <w:u w:val="none"/>
                <w:lang w:val="en-US" w:eastAsia="zh-CN" w:bidi="ar"/>
              </w:rPr>
              <w:t>211.90</w:t>
            </w:r>
          </w:p>
        </w:tc>
      </w:tr>
      <w:tr>
        <w:tblPrEx>
          <w:tblCellMar>
            <w:top w:w="0" w:type="dxa"/>
            <w:left w:w="108" w:type="dxa"/>
            <w:bottom w:w="0" w:type="dxa"/>
            <w:right w:w="108" w:type="dxa"/>
          </w:tblCellMar>
        </w:tblPrEx>
        <w:trPr>
          <w:trHeight w:val="284" w:hRule="exact"/>
        </w:trPr>
        <w:tc>
          <w:tcPr>
            <w:tcW w:w="0" w:type="auto"/>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沅江市交通运输局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103.27</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93.87</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82.65</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11.22</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103.27</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93.87</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82.65</w:t>
            </w:r>
          </w:p>
        </w:tc>
        <w:tc>
          <w:tcPr>
            <w:tcW w:w="1220" w:type="dxa"/>
            <w:tcBorders>
              <w:top w:val="nil"/>
              <w:left w:val="nil"/>
              <w:bottom w:val="single" w:color="auto" w:sz="8" w:space="0"/>
              <w:right w:val="nil"/>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11.22</w:t>
            </w: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9.40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both"/>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lang w:eastAsia="zh-CN"/>
        </w:rPr>
        <w:t>沅江市交通运输局</w:t>
      </w:r>
      <w:r>
        <w:rPr>
          <w:rFonts w:hint="eastAsia" w:ascii="Times New Roman" w:hAnsi="Times New Roman" w:eastAsia="仿宋_GB2312" w:cs="Times New Roman"/>
          <w:color w:val="000000"/>
          <w:kern w:val="0"/>
          <w:szCs w:val="21"/>
          <w:lang w:val="en-US" w:eastAsia="zh-CN"/>
        </w:rPr>
        <w:t xml:space="preserve">                                                                                                                   </w:t>
      </w:r>
      <w:r>
        <w:rPr>
          <w:rFonts w:ascii="Times New Roman" w:hAnsi="Times New Roman" w:eastAsia="仿宋_GB2312" w:cs="Times New Roman"/>
          <w:color w:val="000000"/>
          <w:kern w:val="0"/>
          <w:szCs w:val="21"/>
        </w:rPr>
        <w:t>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86"/>
        <w:gridCol w:w="936"/>
        <w:gridCol w:w="1226"/>
        <w:gridCol w:w="1859"/>
        <w:gridCol w:w="1905"/>
        <w:gridCol w:w="1905"/>
        <w:gridCol w:w="1859"/>
        <w:gridCol w:w="1905"/>
        <w:gridCol w:w="18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3"/>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抗疫特别国债安排的支出</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23401</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基础设施建设</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74" w:type="dxa"/>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2340109</w:t>
            </w:r>
          </w:p>
        </w:tc>
        <w:tc>
          <w:tcPr>
            <w:tcW w:w="2366" w:type="dxa"/>
            <w:gridSpan w:val="2"/>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交通基础设施建设</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1,340.00</w:t>
            </w:r>
          </w:p>
        </w:tc>
        <w:tc>
          <w:tcPr>
            <w:tcW w:w="2000" w:type="dxa"/>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3" w:type="dxa"/>
        <w:tblLayout w:type="autofit"/>
        <w:tblCellMar>
          <w:top w:w="0" w:type="dxa"/>
          <w:left w:w="108" w:type="dxa"/>
          <w:bottom w:w="0" w:type="dxa"/>
          <w:right w:w="108" w:type="dxa"/>
        </w:tblCellMar>
      </w:tblPr>
      <w:tblGrid>
        <w:gridCol w:w="1060"/>
        <w:gridCol w:w="240"/>
        <w:gridCol w:w="140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53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53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lang w:eastAsia="zh-CN"/>
              </w:rPr>
              <w:t>沅江市交通运输局</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3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3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3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3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30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3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30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53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0"/>
        <w:rPr>
          <w:sz w:val="72"/>
          <w:szCs w:val="72"/>
        </w:rPr>
        <w:sectPr>
          <w:pgSz w:w="16838" w:h="11906" w:orient="landscape"/>
          <w:pgMar w:top="720" w:right="720" w:bottom="720" w:left="720" w:header="851" w:footer="992" w:gutter="0"/>
          <w:cols w:space="425" w:num="1"/>
          <w:docGrid w:type="lines" w:linePitch="312" w:charSpace="0"/>
        </w:sectPr>
      </w:pPr>
    </w:p>
    <w:p>
      <w:pPr>
        <w:pStyle w:val="10"/>
        <w:rPr>
          <w:sz w:val="72"/>
          <w:szCs w:val="72"/>
        </w:rPr>
      </w:pPr>
    </w:p>
    <w:p>
      <w:pPr>
        <w:pStyle w:val="10"/>
        <w:rPr>
          <w:sz w:val="72"/>
          <w:szCs w:val="72"/>
        </w:rPr>
      </w:pPr>
    </w:p>
    <w:p>
      <w:pPr>
        <w:pStyle w:val="10"/>
        <w:rPr>
          <w:sz w:val="72"/>
          <w:szCs w:val="72"/>
        </w:rPr>
      </w:pPr>
    </w:p>
    <w:p>
      <w:pPr>
        <w:pStyle w:val="10"/>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第三部分</w:t>
      </w:r>
    </w:p>
    <w:p>
      <w:pPr>
        <w:pStyle w:val="10"/>
        <w:jc w:val="center"/>
        <w:rPr>
          <w:sz w:val="70"/>
          <w:szCs w:val="70"/>
        </w:rPr>
      </w:pPr>
    </w:p>
    <w:p>
      <w:pPr>
        <w:pStyle w:val="10"/>
        <w:jc w:val="center"/>
        <w:rPr>
          <w:sz w:val="70"/>
          <w:szCs w:val="70"/>
        </w:rPr>
      </w:pPr>
      <w:r>
        <w:rPr>
          <w:sz w:val="70"/>
          <w:szCs w:val="70"/>
        </w:rPr>
        <w:t>20</w:t>
      </w:r>
      <w:r>
        <w:rPr>
          <w:rFonts w:hint="eastAsia"/>
          <w:sz w:val="70"/>
          <w:szCs w:val="70"/>
        </w:rPr>
        <w:t>20年度部门决算情况说明</w:t>
      </w:r>
    </w:p>
    <w:p>
      <w:pPr>
        <w:widowControl/>
        <w:jc w:val="left"/>
        <w:rPr>
          <w:rFonts w:ascii="黑体" w:eastAsia="黑体" w:cs="黑体"/>
          <w:color w:val="000000"/>
          <w:kern w:val="0"/>
          <w:sz w:val="70"/>
          <w:szCs w:val="70"/>
        </w:rPr>
      </w:pPr>
      <w:r>
        <w:rPr>
          <w:sz w:val="70"/>
          <w:szCs w:val="70"/>
        </w:rPr>
        <w:br w:type="page"/>
      </w:r>
    </w:p>
    <w:p>
      <w:pPr>
        <w:pStyle w:val="10"/>
        <w:rPr>
          <w:rFonts w:asciiTheme="minorEastAsia" w:hAnsiTheme="minorEastAsia" w:eastAsiaTheme="minorEastAsia"/>
          <w:sz w:val="32"/>
          <w:szCs w:val="32"/>
        </w:rPr>
      </w:pPr>
    </w:p>
    <w:p>
      <w:pPr>
        <w:pStyle w:val="10"/>
        <w:rPr>
          <w:rFonts w:hAnsi="黑体"/>
          <w:b/>
          <w:sz w:val="32"/>
          <w:szCs w:val="32"/>
        </w:rPr>
      </w:pPr>
      <w:r>
        <w:rPr>
          <w:rFonts w:hint="eastAsia" w:hAnsi="黑体"/>
          <w:b/>
          <w:sz w:val="32"/>
          <w:szCs w:val="32"/>
        </w:rPr>
        <w:t>一、收入支出决算总体情况说明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2020年度收、支总计</w:t>
      </w:r>
      <w:r>
        <w:rPr>
          <w:rFonts w:hint="eastAsia" w:asciiTheme="minorEastAsia" w:hAnsiTheme="minorEastAsia" w:eastAsiaTheme="minorEastAsia"/>
          <w:sz w:val="32"/>
          <w:szCs w:val="32"/>
          <w:lang w:val="en-US" w:eastAsia="zh-CN"/>
        </w:rPr>
        <w:t>22394.94</w:t>
      </w:r>
      <w:r>
        <w:rPr>
          <w:rFonts w:hint="eastAsia" w:asciiTheme="minorEastAsia" w:hAnsiTheme="minorEastAsia" w:eastAsiaTheme="minorEastAsia"/>
          <w:sz w:val="32"/>
          <w:szCs w:val="32"/>
        </w:rPr>
        <w:t>万元。与上年相比，减少</w:t>
      </w:r>
      <w:r>
        <w:rPr>
          <w:rFonts w:hint="eastAsia" w:asciiTheme="minorEastAsia" w:hAnsiTheme="minorEastAsia" w:eastAsiaTheme="minorEastAsia"/>
          <w:sz w:val="32"/>
          <w:szCs w:val="32"/>
          <w:lang w:val="en-US" w:eastAsia="zh-CN"/>
        </w:rPr>
        <w:t>3771.06</w:t>
      </w:r>
      <w:r>
        <w:rPr>
          <w:rFonts w:hint="eastAsia" w:asciiTheme="minorEastAsia" w:hAnsiTheme="minorEastAsia" w:eastAsiaTheme="minorEastAsia"/>
          <w:sz w:val="32"/>
          <w:szCs w:val="32"/>
        </w:rPr>
        <w:t>万元，减少</w:t>
      </w:r>
      <w:r>
        <w:rPr>
          <w:rFonts w:hint="eastAsia" w:asciiTheme="minorEastAsia" w:hAnsiTheme="minorEastAsia" w:eastAsiaTheme="minorEastAsia"/>
          <w:sz w:val="32"/>
          <w:szCs w:val="32"/>
          <w:lang w:val="en-US" w:eastAsia="zh-CN"/>
        </w:rPr>
        <w:t>14.41</w:t>
      </w:r>
      <w:r>
        <w:rPr>
          <w:rFonts w:hint="eastAsia" w:asciiTheme="minorEastAsia" w:hAnsiTheme="minorEastAsia" w:eastAsiaTheme="minorEastAsia"/>
          <w:sz w:val="32"/>
          <w:szCs w:val="32"/>
        </w:rPr>
        <w:t>%，主要是因</w:t>
      </w:r>
      <w:r>
        <w:rPr>
          <w:rFonts w:hint="eastAsia" w:asciiTheme="minorEastAsia" w:hAnsiTheme="minorEastAsia" w:eastAsiaTheme="minorEastAsia"/>
          <w:sz w:val="32"/>
          <w:szCs w:val="32"/>
          <w:lang w:eastAsia="zh-CN"/>
        </w:rPr>
        <w:t>为项目减少。</w:t>
      </w:r>
    </w:p>
    <w:p>
      <w:pPr>
        <w:pStyle w:val="10"/>
        <w:rPr>
          <w:rFonts w:hAnsi="黑体"/>
          <w:b/>
          <w:sz w:val="32"/>
          <w:szCs w:val="32"/>
        </w:rPr>
      </w:pPr>
      <w:r>
        <w:rPr>
          <w:rFonts w:hint="eastAsia" w:hAnsi="黑体"/>
          <w:b/>
          <w:sz w:val="32"/>
          <w:szCs w:val="32"/>
        </w:rPr>
        <w:t>二、收入决算情况说明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10035.87</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9895.42</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98.6</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%；其他收入</w:t>
      </w:r>
      <w:r>
        <w:rPr>
          <w:rFonts w:hint="eastAsia" w:asciiTheme="minorEastAsia" w:hAnsiTheme="minorEastAsia" w:eastAsiaTheme="minorEastAsia"/>
          <w:sz w:val="32"/>
          <w:szCs w:val="32"/>
          <w:lang w:val="en-US" w:eastAsia="zh-CN"/>
        </w:rPr>
        <w:t>140.45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1.4</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三、支出决算情况说明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12359.07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1971.63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15.95</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10387.45</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84.05</w:t>
      </w:r>
      <w:r>
        <w:rPr>
          <w:rFonts w:hint="eastAsia" w:asciiTheme="minorEastAsia" w:hAnsiTheme="minorEastAsia" w:eastAsiaTheme="minorEastAsia"/>
          <w:sz w:val="32"/>
          <w:szCs w:val="32"/>
        </w:rPr>
        <w:t>%；上缴上级支出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%；经营支出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%；对附属单位补助支出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四、财政拨款收入支出决算总体情况说明</w:t>
      </w:r>
    </w:p>
    <w:p>
      <w:pPr>
        <w:pStyle w:val="1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21945.04</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6604.04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43.05</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人员增加。</w:t>
      </w:r>
    </w:p>
    <w:p>
      <w:pPr>
        <w:pStyle w:val="10"/>
        <w:rPr>
          <w:rFonts w:hAnsi="黑体"/>
          <w:b/>
          <w:sz w:val="32"/>
          <w:szCs w:val="32"/>
        </w:rPr>
      </w:pPr>
      <w:r>
        <w:rPr>
          <w:rFonts w:hint="eastAsia" w:hAnsi="黑体"/>
          <w:b/>
          <w:sz w:val="32"/>
          <w:szCs w:val="32"/>
        </w:rPr>
        <w:t>五、一般公共预算财政拨款支出决算情况说明</w:t>
      </w:r>
    </w:p>
    <w:p>
      <w:pPr>
        <w:pStyle w:val="10"/>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10"/>
        <w:ind w:firstLine="800" w:firstLineChars="25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12049.62</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97.5</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5397.62</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81.14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eastAsia="zh-CN"/>
        </w:rPr>
        <w:t>人员增加。</w:t>
      </w:r>
    </w:p>
    <w:p>
      <w:pPr>
        <w:pStyle w:val="10"/>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10"/>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2020年度财政拨款支出</w:t>
      </w:r>
      <w:r>
        <w:rPr>
          <w:rFonts w:hint="eastAsia" w:asciiTheme="minorEastAsia" w:hAnsiTheme="minorEastAsia" w:eastAsiaTheme="minorEastAsia"/>
          <w:sz w:val="32"/>
          <w:szCs w:val="32"/>
          <w:lang w:val="en-US" w:eastAsia="zh-CN"/>
        </w:rPr>
        <w:t>12049.62</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23.3</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0.19</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节能环保</w:t>
      </w:r>
      <w:r>
        <w:rPr>
          <w:rFonts w:hint="eastAsia" w:asciiTheme="minorEastAsia" w:hAnsiTheme="minorEastAsia" w:eastAsiaTheme="minorEastAsia"/>
          <w:sz w:val="32"/>
          <w:szCs w:val="32"/>
        </w:rPr>
        <w:t>（类）支出</w:t>
      </w:r>
      <w:r>
        <w:rPr>
          <w:rFonts w:hint="eastAsia" w:asciiTheme="minorEastAsia" w:hAnsiTheme="minorEastAsia" w:eastAsiaTheme="minorEastAsia"/>
          <w:sz w:val="32"/>
          <w:szCs w:val="32"/>
          <w:lang w:val="en-US" w:eastAsia="zh-CN"/>
        </w:rPr>
        <w:t>642.67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5.33</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农林水（类）支出</w:t>
      </w:r>
      <w:r>
        <w:rPr>
          <w:rFonts w:hint="eastAsia" w:asciiTheme="minorEastAsia" w:hAnsiTheme="minorEastAsia" w:eastAsiaTheme="minorEastAsia"/>
          <w:sz w:val="32"/>
          <w:szCs w:val="32"/>
          <w:lang w:val="en-US" w:eastAsia="zh-CN"/>
        </w:rPr>
        <w:t>1720万元，占14.27%；</w:t>
      </w:r>
      <w:r>
        <w:rPr>
          <w:rFonts w:hint="eastAsia" w:asciiTheme="minorEastAsia" w:hAnsiTheme="minorEastAsia" w:eastAsiaTheme="minorEastAsia"/>
          <w:sz w:val="32"/>
          <w:szCs w:val="32"/>
          <w:lang w:eastAsia="zh-CN"/>
        </w:rPr>
        <w:t>交通运输（类）支出</w:t>
      </w:r>
      <w:r>
        <w:rPr>
          <w:rFonts w:hint="eastAsia" w:asciiTheme="minorEastAsia" w:hAnsiTheme="minorEastAsia" w:eastAsiaTheme="minorEastAsia"/>
          <w:sz w:val="32"/>
          <w:szCs w:val="32"/>
          <w:lang w:val="en-US" w:eastAsia="zh-CN"/>
        </w:rPr>
        <w:t>8161.57万元，占67.73%；</w:t>
      </w:r>
      <w:r>
        <w:rPr>
          <w:rFonts w:hint="eastAsia" w:asciiTheme="minorEastAsia" w:hAnsiTheme="minorEastAsia" w:eastAsiaTheme="minorEastAsia"/>
          <w:sz w:val="32"/>
          <w:szCs w:val="32"/>
          <w:lang w:eastAsia="zh-CN"/>
        </w:rPr>
        <w:t>住房保障（类）支出</w:t>
      </w:r>
      <w:r>
        <w:rPr>
          <w:rFonts w:hint="eastAsia" w:asciiTheme="minorEastAsia" w:hAnsiTheme="minorEastAsia" w:eastAsiaTheme="minorEastAsia"/>
          <w:sz w:val="32"/>
          <w:szCs w:val="32"/>
          <w:lang w:val="en-US" w:eastAsia="zh-CN"/>
        </w:rPr>
        <w:t>160.08万元，占1.33%；</w:t>
      </w:r>
      <w:r>
        <w:rPr>
          <w:rFonts w:hint="eastAsia" w:asciiTheme="minorEastAsia" w:hAnsiTheme="minorEastAsia" w:eastAsiaTheme="minorEastAsia"/>
          <w:sz w:val="32"/>
          <w:szCs w:val="32"/>
          <w:lang w:eastAsia="zh-CN"/>
        </w:rPr>
        <w:t>粮油物资储备（类）支出</w:t>
      </w:r>
      <w:r>
        <w:rPr>
          <w:rFonts w:hint="eastAsia" w:asciiTheme="minorEastAsia" w:hAnsiTheme="minorEastAsia" w:eastAsiaTheme="minorEastAsia"/>
          <w:sz w:val="32"/>
          <w:szCs w:val="32"/>
          <w:lang w:val="en-US" w:eastAsia="zh-CN"/>
        </w:rPr>
        <w:t>2万元，占0.02%；</w:t>
      </w:r>
      <w:r>
        <w:rPr>
          <w:rFonts w:hint="eastAsia" w:asciiTheme="minorEastAsia" w:hAnsiTheme="minorEastAsia" w:eastAsiaTheme="minorEastAsia"/>
          <w:sz w:val="32"/>
          <w:szCs w:val="32"/>
          <w:lang w:eastAsia="zh-CN"/>
        </w:rPr>
        <w:t>抗疫特别国债安排（类）支出</w:t>
      </w:r>
      <w:r>
        <w:rPr>
          <w:rFonts w:hint="eastAsia" w:asciiTheme="minorEastAsia" w:hAnsiTheme="minorEastAsia" w:eastAsiaTheme="minorEastAsia"/>
          <w:sz w:val="32"/>
          <w:szCs w:val="32"/>
          <w:lang w:val="en-US" w:eastAsia="zh-CN"/>
        </w:rPr>
        <w:t>1340万元，占11.12%。</w:t>
      </w:r>
    </w:p>
    <w:p>
      <w:pPr>
        <w:pStyle w:val="10"/>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10"/>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1965.61</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12049.62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613</w:t>
      </w:r>
      <w:r>
        <w:rPr>
          <w:rFonts w:hint="eastAsia" w:asciiTheme="minorEastAsia" w:hAnsiTheme="minorEastAsia" w:eastAsiaTheme="minorEastAsia"/>
          <w:sz w:val="32"/>
          <w:szCs w:val="32"/>
        </w:rPr>
        <w:t>%，其中：</w:t>
      </w:r>
    </w:p>
    <w:p>
      <w:pPr>
        <w:pStyle w:val="10"/>
        <w:ind w:firstLine="800" w:firstLineChars="250"/>
        <w:rPr>
          <w:rFonts w:hint="eastAsia" w:asciiTheme="minorEastAsia" w:hAnsiTheme="minorEastAsia" w:eastAsiaTheme="minorEastAsia"/>
          <w:sz w:val="32"/>
          <w:szCs w:val="32"/>
          <w:lang w:eastAsia="zh-CN"/>
        </w:rPr>
      </w:pPr>
      <w:r>
        <w:rPr>
          <w:rFonts w:hint="eastAsia" w:cs="黑体" w:asciiTheme="minorEastAsia" w:hAnsiTheme="minorEastAsia" w:eastAsiaTheme="minorEastAsia"/>
          <w:color w:val="000000"/>
          <w:kern w:val="0"/>
          <w:sz w:val="32"/>
          <w:szCs w:val="32"/>
          <w:lang w:val="en-US" w:eastAsia="zh-CN" w:bidi="ar-SA"/>
        </w:rPr>
        <w:t>1.一般公共服务支出（类）税收事务（款）其他税收事务支出（项）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22.7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税收协控联管工作经费；</w:t>
      </w:r>
      <w:r>
        <w:rPr>
          <w:rFonts w:hint="eastAsia" w:cs="黑体" w:asciiTheme="minorEastAsia" w:hAnsiTheme="minorEastAsia" w:eastAsiaTheme="minorEastAsia"/>
          <w:color w:val="000000"/>
          <w:kern w:val="0"/>
          <w:sz w:val="32"/>
          <w:szCs w:val="32"/>
          <w:lang w:val="en-US" w:eastAsia="zh-CN" w:bidi="ar-SA"/>
        </w:rPr>
        <w:t>一般公共服务支出（类）组织事务（款）其他组织事务支出（项）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七一表彰奖励金。</w:t>
      </w:r>
    </w:p>
    <w:p>
      <w:pPr>
        <w:ind w:firstLine="640"/>
        <w:jc w:val="left"/>
        <w:rPr>
          <w:rFonts w:hint="eastAsia" w:asciiTheme="minorEastAsia" w:hAnsiTheme="minorEastAsia" w:eastAsiaTheme="minorEastAsia"/>
          <w:sz w:val="32"/>
          <w:szCs w:val="32"/>
          <w:lang w:eastAsia="zh-CN"/>
        </w:rPr>
      </w:pPr>
      <w:r>
        <w:rPr>
          <w:rFonts w:hint="eastAsia" w:cs="黑体" w:asciiTheme="minorEastAsia" w:hAnsiTheme="minorEastAsia" w:eastAsiaTheme="minorEastAsia"/>
          <w:color w:val="000000"/>
          <w:kern w:val="0"/>
          <w:sz w:val="32"/>
          <w:szCs w:val="32"/>
          <w:lang w:val="en-US" w:eastAsia="zh-CN" w:bidi="ar-SA"/>
        </w:rPr>
        <w:t>2. 节能环保支出（类）</w:t>
      </w:r>
      <w:r>
        <w:rPr>
          <w:rFonts w:hint="eastAsia" w:cs="黑体" w:asciiTheme="minorEastAsia" w:hAnsiTheme="minorEastAsia"/>
          <w:color w:val="000000"/>
          <w:kern w:val="0"/>
          <w:sz w:val="32"/>
          <w:szCs w:val="32"/>
          <w:lang w:val="en-US" w:eastAsia="zh-CN" w:bidi="ar-SA"/>
        </w:rPr>
        <w:t>能源节约利用</w:t>
      </w:r>
      <w:r>
        <w:rPr>
          <w:rFonts w:hint="eastAsia" w:cs="黑体" w:asciiTheme="minorEastAsia" w:hAnsiTheme="minorEastAsia" w:eastAsiaTheme="minorEastAsia"/>
          <w:color w:val="000000"/>
          <w:kern w:val="0"/>
          <w:sz w:val="32"/>
          <w:szCs w:val="32"/>
          <w:lang w:val="en-US" w:eastAsia="zh-CN" w:bidi="ar-SA"/>
        </w:rPr>
        <w:t>（款）</w:t>
      </w:r>
      <w:r>
        <w:rPr>
          <w:rFonts w:hint="eastAsia" w:cs="黑体" w:asciiTheme="minorEastAsia" w:hAnsiTheme="minorEastAsia"/>
          <w:color w:val="000000"/>
          <w:kern w:val="0"/>
          <w:sz w:val="32"/>
          <w:szCs w:val="32"/>
          <w:lang w:val="en-US" w:eastAsia="zh-CN" w:bidi="ar-SA"/>
        </w:rPr>
        <w:t>能源节约利用</w:t>
      </w:r>
      <w:r>
        <w:rPr>
          <w:rFonts w:hint="eastAsia" w:cs="黑体" w:asciiTheme="minorEastAsia" w:hAnsiTheme="minorEastAsia" w:eastAsiaTheme="minorEastAsia"/>
          <w:color w:val="000000"/>
          <w:kern w:val="0"/>
          <w:sz w:val="32"/>
          <w:szCs w:val="32"/>
          <w:lang w:val="en-US" w:eastAsia="zh-CN" w:bidi="ar-SA"/>
        </w:rPr>
        <w:t>（项）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充电基础奖励金；</w:t>
      </w:r>
      <w:r>
        <w:rPr>
          <w:rFonts w:hint="eastAsia" w:cs="黑体" w:asciiTheme="minorEastAsia" w:hAnsiTheme="minorEastAsia" w:eastAsiaTheme="minorEastAsia"/>
          <w:color w:val="000000"/>
          <w:kern w:val="0"/>
          <w:sz w:val="32"/>
          <w:szCs w:val="32"/>
          <w:lang w:val="en-US" w:eastAsia="zh-CN" w:bidi="ar-SA"/>
        </w:rPr>
        <w:t>节能环保支出（类）</w:t>
      </w:r>
      <w:r>
        <w:rPr>
          <w:rFonts w:hint="eastAsia" w:cs="黑体" w:asciiTheme="minorEastAsia" w:hAnsiTheme="minorEastAsia"/>
          <w:color w:val="000000"/>
          <w:kern w:val="0"/>
          <w:sz w:val="32"/>
          <w:szCs w:val="32"/>
          <w:lang w:val="en-US" w:eastAsia="zh-CN" w:bidi="ar-SA"/>
        </w:rPr>
        <w:t>其他节能环保支出</w:t>
      </w:r>
      <w:r>
        <w:rPr>
          <w:rFonts w:hint="eastAsia" w:cs="黑体" w:asciiTheme="minorEastAsia" w:hAnsiTheme="minorEastAsia" w:eastAsiaTheme="minorEastAsia"/>
          <w:color w:val="000000"/>
          <w:kern w:val="0"/>
          <w:sz w:val="32"/>
          <w:szCs w:val="32"/>
          <w:lang w:val="en-US" w:eastAsia="zh-CN" w:bidi="ar-SA"/>
        </w:rPr>
        <w:t>（款）</w:t>
      </w:r>
      <w:r>
        <w:rPr>
          <w:rFonts w:hint="eastAsia" w:cs="黑体" w:asciiTheme="minorEastAsia" w:hAnsiTheme="minorEastAsia"/>
          <w:color w:val="000000"/>
          <w:kern w:val="0"/>
          <w:sz w:val="32"/>
          <w:szCs w:val="32"/>
          <w:lang w:val="en-US" w:eastAsia="zh-CN" w:bidi="ar-SA"/>
        </w:rPr>
        <w:t>其他节能环保支出</w:t>
      </w:r>
      <w:r>
        <w:rPr>
          <w:rFonts w:hint="eastAsia" w:cs="黑体" w:asciiTheme="minorEastAsia" w:hAnsiTheme="minorEastAsia" w:eastAsiaTheme="minorEastAsia"/>
          <w:color w:val="000000"/>
          <w:kern w:val="0"/>
          <w:sz w:val="32"/>
          <w:szCs w:val="32"/>
          <w:lang w:val="en-US" w:eastAsia="zh-CN" w:bidi="ar-SA"/>
        </w:rPr>
        <w:t>（项）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635.67</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新能源公交车补贴资金。</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 农林水支出（类）</w:t>
      </w:r>
      <w:r>
        <w:rPr>
          <w:rFonts w:hint="eastAsia" w:cs="黑体" w:asciiTheme="minorEastAsia" w:hAnsiTheme="minorEastAsia"/>
          <w:color w:val="000000"/>
          <w:kern w:val="0"/>
          <w:sz w:val="32"/>
          <w:szCs w:val="32"/>
          <w:lang w:val="en-US" w:eastAsia="zh-CN" w:bidi="ar-SA"/>
        </w:rPr>
        <w:t>农业农村</w:t>
      </w:r>
      <w:r>
        <w:rPr>
          <w:rFonts w:hint="eastAsia" w:cs="黑体" w:asciiTheme="minorEastAsia" w:hAnsiTheme="minorEastAsia" w:eastAsiaTheme="minorEastAsia"/>
          <w:color w:val="000000"/>
          <w:kern w:val="0"/>
          <w:sz w:val="32"/>
          <w:szCs w:val="32"/>
          <w:lang w:val="en-US" w:eastAsia="zh-CN" w:bidi="ar-SA"/>
        </w:rPr>
        <w:t>（款）</w:t>
      </w:r>
      <w:r>
        <w:rPr>
          <w:rFonts w:hint="eastAsia" w:cs="黑体" w:asciiTheme="minorEastAsia" w:hAnsiTheme="minorEastAsia"/>
          <w:color w:val="000000"/>
          <w:kern w:val="0"/>
          <w:sz w:val="32"/>
          <w:szCs w:val="32"/>
          <w:lang w:val="en-US" w:eastAsia="zh-CN" w:bidi="ar-SA"/>
        </w:rPr>
        <w:t>农业资源保护修复与利用</w:t>
      </w:r>
      <w:r>
        <w:rPr>
          <w:rFonts w:hint="eastAsia" w:cs="黑体" w:asciiTheme="minorEastAsia" w:hAnsiTheme="minorEastAsia" w:eastAsiaTheme="minorEastAsia"/>
          <w:color w:val="000000"/>
          <w:kern w:val="0"/>
          <w:sz w:val="32"/>
          <w:szCs w:val="32"/>
          <w:lang w:val="en-US" w:eastAsia="zh-CN" w:bidi="ar-SA"/>
        </w:rPr>
        <w:t>（项）</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20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禁捕退捕紫荆；</w:t>
      </w:r>
      <w:r>
        <w:rPr>
          <w:rFonts w:hint="eastAsia" w:cs="黑体" w:asciiTheme="minorEastAsia" w:hAnsiTheme="minorEastAsia" w:eastAsiaTheme="minorEastAsia"/>
          <w:color w:val="000000"/>
          <w:kern w:val="0"/>
          <w:sz w:val="32"/>
          <w:szCs w:val="32"/>
          <w:lang w:val="en-US" w:eastAsia="zh-CN" w:bidi="ar-SA"/>
        </w:rPr>
        <w:t>农林水支出（类）扶贫（款）农村基础设施建设（项）</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1700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cs="黑体" w:asciiTheme="minorEastAsia" w:hAnsiTheme="minorEastAsia" w:eastAsiaTheme="minorEastAsia"/>
          <w:color w:val="000000"/>
          <w:kern w:val="0"/>
          <w:sz w:val="32"/>
          <w:szCs w:val="32"/>
          <w:lang w:val="en-US" w:eastAsia="zh-CN" w:bidi="ar-SA"/>
        </w:rPr>
        <w:t>自然村通水泥路建设</w:t>
      </w:r>
      <w:r>
        <w:rPr>
          <w:rFonts w:hint="eastAsia" w:cs="黑体" w:asciiTheme="minorEastAsia" w:hAnsiTheme="minorEastAsia"/>
          <w:color w:val="000000"/>
          <w:kern w:val="0"/>
          <w:sz w:val="32"/>
          <w:szCs w:val="32"/>
          <w:lang w:val="en-US" w:eastAsia="zh-CN" w:bidi="ar-SA"/>
        </w:rPr>
        <w:t>资金</w:t>
      </w:r>
      <w:r>
        <w:rPr>
          <w:rFonts w:hint="eastAsia" w:cs="黑体" w:asciiTheme="minorEastAsia" w:hAnsiTheme="minorEastAsia" w:eastAsiaTheme="minorEastAsia"/>
          <w:color w:val="000000"/>
          <w:kern w:val="0"/>
          <w:sz w:val="32"/>
          <w:szCs w:val="32"/>
          <w:lang w:val="en-US" w:eastAsia="zh-CN" w:bidi="ar-SA"/>
        </w:rPr>
        <w:t>。</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4. 交通运输支出（类）公路水路运输（款）行政运行（项）</w:t>
      </w:r>
      <w:r>
        <w:rPr>
          <w:rFonts w:hint="eastAsia" w:asciiTheme="minorEastAsia" w:hAnsiTheme="minorEastAsia" w:eastAsiaTheme="minorEastAsia"/>
          <w:sz w:val="32"/>
          <w:szCs w:val="32"/>
        </w:rPr>
        <w:t>预算为</w:t>
      </w:r>
      <w:r>
        <w:rPr>
          <w:rFonts w:hint="eastAsia" w:asciiTheme="minorEastAsia" w:hAnsiTheme="minorEastAsia"/>
          <w:sz w:val="32"/>
          <w:szCs w:val="32"/>
          <w:lang w:val="en-US" w:eastAsia="zh-CN"/>
        </w:rPr>
        <w:t>1481.75</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1779.24</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w:t>
      </w:r>
      <w:r>
        <w:rPr>
          <w:rFonts w:hint="eastAsia" w:asciiTheme="minorEastAsia" w:hAnsiTheme="minorEastAsia"/>
          <w:sz w:val="32"/>
          <w:szCs w:val="32"/>
          <w:lang w:val="en-US" w:eastAsia="zh-CN"/>
        </w:rPr>
        <w:t>2</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人员增加</w:t>
      </w:r>
      <w:r>
        <w:rPr>
          <w:rFonts w:hint="eastAsia" w:cs="黑体" w:asciiTheme="minorEastAsia" w:hAnsiTheme="minorEastAsia" w:eastAsiaTheme="minorEastAsia"/>
          <w:color w:val="000000"/>
          <w:kern w:val="0"/>
          <w:sz w:val="32"/>
          <w:szCs w:val="32"/>
          <w:lang w:val="en-US" w:eastAsia="zh-CN" w:bidi="ar-SA"/>
        </w:rPr>
        <w:t>；一般行政管理事务（项）</w:t>
      </w:r>
      <w:r>
        <w:rPr>
          <w:rFonts w:hint="eastAsia" w:asciiTheme="minorEastAsia" w:hAnsiTheme="minorEastAsia" w:eastAsiaTheme="minorEastAsia"/>
          <w:sz w:val="32"/>
          <w:szCs w:val="32"/>
        </w:rPr>
        <w:t>预算为</w:t>
      </w:r>
      <w:r>
        <w:rPr>
          <w:rFonts w:hint="eastAsia" w:asciiTheme="minorEastAsia" w:hAnsiTheme="minorEastAsia"/>
          <w:sz w:val="32"/>
          <w:szCs w:val="32"/>
          <w:lang w:val="en-US" w:eastAsia="zh-CN"/>
        </w:rPr>
        <w:t>346</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1285.63</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371.56</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项目增加</w:t>
      </w:r>
      <w:r>
        <w:rPr>
          <w:rFonts w:hint="eastAsia" w:cs="黑体" w:asciiTheme="minorEastAsia" w:hAnsiTheme="minorEastAsia" w:eastAsiaTheme="minorEastAsia"/>
          <w:color w:val="000000"/>
          <w:kern w:val="0"/>
          <w:sz w:val="32"/>
          <w:szCs w:val="32"/>
          <w:lang w:val="en-US" w:eastAsia="zh-CN" w:bidi="ar-SA"/>
        </w:rPr>
        <w:t>；</w:t>
      </w:r>
      <w:r>
        <w:rPr>
          <w:rFonts w:hint="eastAsia" w:cs="黑体" w:asciiTheme="minorEastAsia" w:hAnsiTheme="minorEastAsia"/>
          <w:color w:val="000000"/>
          <w:kern w:val="0"/>
          <w:sz w:val="32"/>
          <w:szCs w:val="32"/>
          <w:lang w:val="en-US" w:eastAsia="zh-CN" w:bidi="ar-SA"/>
        </w:rPr>
        <w:t>公路建设</w:t>
      </w:r>
      <w:r>
        <w:rPr>
          <w:rFonts w:hint="eastAsia" w:cs="黑体" w:asciiTheme="minorEastAsia" w:hAnsiTheme="minorEastAsia" w:eastAsiaTheme="minorEastAsia"/>
          <w:color w:val="000000"/>
          <w:kern w:val="0"/>
          <w:sz w:val="32"/>
          <w:szCs w:val="32"/>
          <w:lang w:val="en-US" w:eastAsia="zh-CN" w:bidi="ar-SA"/>
        </w:rPr>
        <w:t>（项）</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890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项目增加；</w:t>
      </w:r>
      <w:r>
        <w:rPr>
          <w:rFonts w:hint="eastAsia" w:cs="黑体" w:asciiTheme="minorEastAsia" w:hAnsiTheme="minorEastAsia" w:eastAsiaTheme="minorEastAsia"/>
          <w:color w:val="000000"/>
          <w:kern w:val="0"/>
          <w:sz w:val="32"/>
          <w:szCs w:val="32"/>
          <w:lang w:val="en-US" w:eastAsia="zh-CN" w:bidi="ar-SA"/>
        </w:rPr>
        <w:t>其他公路水路运输支出（项）</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2520.42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项目增加。</w:t>
      </w:r>
    </w:p>
    <w:p>
      <w:pPr>
        <w:ind w:firstLine="640"/>
        <w:jc w:val="left"/>
        <w:rPr>
          <w:rFonts w:hint="eastAsia" w:asciiTheme="minorEastAsia" w:hAnsiTheme="minorEastAsia"/>
          <w:sz w:val="32"/>
          <w:szCs w:val="32"/>
          <w:lang w:eastAsia="zh-CN"/>
        </w:rPr>
      </w:pPr>
      <w:r>
        <w:rPr>
          <w:rFonts w:hint="eastAsia" w:cs="黑体" w:asciiTheme="minorEastAsia" w:hAnsiTheme="minorEastAsia" w:eastAsiaTheme="minorEastAsia"/>
          <w:color w:val="000000"/>
          <w:kern w:val="0"/>
          <w:sz w:val="32"/>
          <w:szCs w:val="32"/>
          <w:lang w:val="en-US" w:eastAsia="zh-CN" w:bidi="ar-SA"/>
        </w:rPr>
        <w:t>5. 交通运输支出（类）成品油价格改革对交通运输的补贴（款）</w:t>
      </w:r>
      <w:r>
        <w:rPr>
          <w:rFonts w:hint="eastAsia" w:cs="黑体" w:asciiTheme="minorEastAsia" w:hAnsiTheme="minorEastAsia"/>
          <w:color w:val="000000"/>
          <w:kern w:val="0"/>
          <w:sz w:val="32"/>
          <w:szCs w:val="32"/>
          <w:lang w:val="en-US" w:eastAsia="zh-CN" w:bidi="ar-SA"/>
        </w:rPr>
        <w:t>对城市公交的补贴</w:t>
      </w:r>
      <w:r>
        <w:rPr>
          <w:rFonts w:hint="eastAsia" w:cs="黑体" w:asciiTheme="minorEastAsia" w:hAnsiTheme="minorEastAsia" w:eastAsiaTheme="minorEastAsia"/>
          <w:color w:val="000000"/>
          <w:kern w:val="0"/>
          <w:sz w:val="32"/>
          <w:szCs w:val="32"/>
          <w:lang w:val="en-US" w:eastAsia="zh-CN" w:bidi="ar-SA"/>
        </w:rPr>
        <w:t>（项）</w:t>
      </w: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762.78</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对城市公交车的价格补贴资金；成品油价格改革补贴其他支出（</w:t>
      </w:r>
      <w:r>
        <w:rPr>
          <w:rFonts w:hint="eastAsia" w:cs="黑体" w:asciiTheme="minorEastAsia" w:hAnsiTheme="minorEastAsia" w:eastAsiaTheme="minorEastAsia"/>
          <w:color w:val="000000"/>
          <w:kern w:val="0"/>
          <w:sz w:val="32"/>
          <w:szCs w:val="32"/>
          <w:lang w:val="en-US" w:eastAsia="zh-CN" w:bidi="ar-SA"/>
        </w:rPr>
        <w:t>项）</w:t>
      </w: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15.4</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对公交车安全防范和智能监控补贴资金。</w:t>
      </w:r>
    </w:p>
    <w:p>
      <w:pPr>
        <w:ind w:firstLine="640"/>
        <w:jc w:val="left"/>
        <w:rPr>
          <w:rFonts w:hint="eastAsia" w:asciiTheme="minorEastAsia" w:hAnsiTheme="minorEastAsia"/>
          <w:sz w:val="32"/>
          <w:szCs w:val="32"/>
          <w:lang w:eastAsia="zh-CN"/>
        </w:rPr>
      </w:pPr>
      <w:r>
        <w:rPr>
          <w:rFonts w:hint="eastAsia" w:asciiTheme="minorEastAsia" w:hAnsiTheme="minorEastAsia"/>
          <w:sz w:val="32"/>
          <w:szCs w:val="32"/>
          <w:lang w:val="en-US" w:eastAsia="zh-CN"/>
        </w:rPr>
        <w:t>6.</w:t>
      </w:r>
      <w:r>
        <w:rPr>
          <w:rFonts w:hint="eastAsia" w:cs="黑体" w:asciiTheme="minorEastAsia" w:hAnsiTheme="minorEastAsia" w:eastAsiaTheme="minorEastAsia"/>
          <w:color w:val="000000"/>
          <w:kern w:val="0"/>
          <w:sz w:val="32"/>
          <w:szCs w:val="32"/>
          <w:lang w:val="en-US" w:eastAsia="zh-CN" w:bidi="ar-SA"/>
        </w:rPr>
        <w:t xml:space="preserve"> 交通运输支出（类）</w:t>
      </w:r>
      <w:r>
        <w:rPr>
          <w:rFonts w:hint="eastAsia" w:cs="黑体" w:asciiTheme="minorEastAsia" w:hAnsiTheme="minorEastAsia"/>
          <w:color w:val="000000"/>
          <w:kern w:val="0"/>
          <w:sz w:val="32"/>
          <w:szCs w:val="32"/>
          <w:lang w:val="en-US" w:eastAsia="zh-CN" w:bidi="ar-SA"/>
        </w:rPr>
        <w:t>车辆购置税支出</w:t>
      </w:r>
      <w:r>
        <w:rPr>
          <w:rFonts w:hint="eastAsia" w:cs="黑体" w:asciiTheme="minorEastAsia" w:hAnsiTheme="minorEastAsia" w:eastAsiaTheme="minorEastAsia"/>
          <w:color w:val="000000"/>
          <w:kern w:val="0"/>
          <w:sz w:val="32"/>
          <w:szCs w:val="32"/>
          <w:lang w:val="en-US" w:eastAsia="zh-CN" w:bidi="ar-SA"/>
        </w:rPr>
        <w:t>（款）</w:t>
      </w:r>
      <w:r>
        <w:rPr>
          <w:rFonts w:hint="eastAsia" w:cs="黑体" w:asciiTheme="minorEastAsia" w:hAnsiTheme="minorEastAsia"/>
          <w:color w:val="000000"/>
          <w:kern w:val="0"/>
          <w:sz w:val="32"/>
          <w:szCs w:val="32"/>
          <w:lang w:val="en-US" w:eastAsia="zh-CN" w:bidi="ar-SA"/>
        </w:rPr>
        <w:t>车辆购置税用于农村公路建设支出</w:t>
      </w:r>
      <w:r>
        <w:rPr>
          <w:rFonts w:hint="eastAsia" w:cs="黑体" w:asciiTheme="minorEastAsia" w:hAnsiTheme="minorEastAsia" w:eastAsiaTheme="minorEastAsia"/>
          <w:color w:val="000000"/>
          <w:kern w:val="0"/>
          <w:sz w:val="32"/>
          <w:szCs w:val="32"/>
          <w:lang w:val="en-US" w:eastAsia="zh-CN" w:bidi="ar-SA"/>
        </w:rPr>
        <w:t>（项）</w:t>
      </w: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592</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农村公路建设资金。</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asciiTheme="minorEastAsia" w:hAnsiTheme="minorEastAsia"/>
          <w:sz w:val="32"/>
          <w:szCs w:val="32"/>
          <w:lang w:val="en-US" w:eastAsia="zh-CN"/>
        </w:rPr>
        <w:t>7.</w:t>
      </w:r>
      <w:r>
        <w:rPr>
          <w:rFonts w:hint="eastAsia" w:cs="黑体" w:asciiTheme="minorEastAsia" w:hAnsiTheme="minorEastAsia" w:eastAsiaTheme="minorEastAsia"/>
          <w:color w:val="000000"/>
          <w:kern w:val="0"/>
          <w:sz w:val="32"/>
          <w:szCs w:val="32"/>
          <w:lang w:val="en-US" w:eastAsia="zh-CN" w:bidi="ar-SA"/>
        </w:rPr>
        <w:t xml:space="preserve"> 交通运输支出（类）其他交通运输支出（款）</w:t>
      </w:r>
      <w:r>
        <w:rPr>
          <w:rFonts w:hint="eastAsia" w:cs="黑体" w:asciiTheme="minorEastAsia" w:hAnsiTheme="minorEastAsia"/>
          <w:color w:val="000000"/>
          <w:kern w:val="0"/>
          <w:sz w:val="32"/>
          <w:szCs w:val="32"/>
          <w:lang w:val="en-US" w:eastAsia="zh-CN" w:bidi="ar-SA"/>
        </w:rPr>
        <w:t>公共交通运营补助</w:t>
      </w:r>
      <w:r>
        <w:rPr>
          <w:rFonts w:hint="eastAsia" w:cs="黑体" w:asciiTheme="minorEastAsia" w:hAnsiTheme="minorEastAsia" w:eastAsiaTheme="minorEastAsia"/>
          <w:color w:val="000000"/>
          <w:kern w:val="0"/>
          <w:sz w:val="32"/>
          <w:szCs w:val="32"/>
          <w:lang w:val="en-US" w:eastAsia="zh-CN" w:bidi="ar-SA"/>
        </w:rPr>
        <w:t>（项）</w:t>
      </w: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325.40</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公共汽车运营补贴资金；</w:t>
      </w:r>
      <w:r>
        <w:rPr>
          <w:rFonts w:hint="eastAsia" w:cs="黑体" w:asciiTheme="minorEastAsia" w:hAnsiTheme="minorEastAsia" w:eastAsiaTheme="minorEastAsia"/>
          <w:color w:val="000000"/>
          <w:kern w:val="0"/>
          <w:sz w:val="32"/>
          <w:szCs w:val="32"/>
          <w:lang w:val="en-US" w:eastAsia="zh-CN" w:bidi="ar-SA"/>
        </w:rPr>
        <w:t>交通运输支出（类）其他交通运输支出（款）其他交通运输（项）</w:t>
      </w:r>
      <w:r>
        <w:rPr>
          <w:rFonts w:hint="eastAsia" w:asciiTheme="minorEastAsia" w:hAnsiTheme="minorEastAsia" w:eastAsiaTheme="minorEastAsia"/>
          <w:sz w:val="32"/>
          <w:szCs w:val="32"/>
        </w:rPr>
        <w:t>年初预算为</w:t>
      </w:r>
      <w:r>
        <w:rPr>
          <w:rFonts w:hint="eastAsia" w:asciiTheme="minorEastAsia" w:hAnsi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sz w:val="32"/>
          <w:szCs w:val="32"/>
          <w:lang w:val="en-US" w:eastAsia="zh-CN"/>
        </w:rPr>
        <w:t>300.14</w:t>
      </w:r>
      <w:r>
        <w:rPr>
          <w:rFonts w:hint="eastAsia" w:asciiTheme="minorEastAsia" w:hAnsiTheme="minorEastAsia" w:eastAsiaTheme="minorEastAsia"/>
          <w:sz w:val="32"/>
          <w:szCs w:val="32"/>
        </w:rPr>
        <w:t>万元，完成年初预算的</w:t>
      </w:r>
      <w:r>
        <w:rPr>
          <w:rFonts w:hint="eastAsia" w:asciiTheme="minorEastAsia" w:hAnsi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sz w:val="32"/>
          <w:szCs w:val="32"/>
          <w:lang w:eastAsia="zh-CN"/>
        </w:rPr>
        <w:t>公交总站和百合车站资金。</w:t>
      </w:r>
    </w:p>
    <w:p>
      <w:pPr>
        <w:pStyle w:val="10"/>
        <w:ind w:firstLine="800" w:firstLineChars="250"/>
        <w:rPr>
          <w:rFonts w:hint="eastAsia" w:asciiTheme="minorEastAsia" w:hAnsiTheme="minorEastAsia" w:eastAsiaTheme="minorEastAsia"/>
          <w:sz w:val="32"/>
          <w:szCs w:val="32"/>
          <w:lang w:eastAsia="zh-CN"/>
        </w:rPr>
      </w:pPr>
      <w:r>
        <w:rPr>
          <w:rFonts w:hint="eastAsia" w:cs="黑体" w:asciiTheme="minorEastAsia" w:hAnsiTheme="minorEastAsia" w:eastAsiaTheme="minorEastAsia"/>
          <w:color w:val="000000"/>
          <w:kern w:val="0"/>
          <w:sz w:val="32"/>
          <w:szCs w:val="32"/>
          <w:lang w:val="en-US" w:eastAsia="zh-CN" w:bidi="ar-SA"/>
        </w:rPr>
        <w:t>8. 住房保障支出（类）住房改革支出（款）住房公积金（项）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137.86</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160.08</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116.12</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人员增加。</w:t>
      </w:r>
    </w:p>
    <w:p>
      <w:pPr>
        <w:pStyle w:val="10"/>
        <w:ind w:firstLine="800" w:firstLineChars="250"/>
        <w:rPr>
          <w:rFonts w:hint="eastAsia" w:asciiTheme="minorEastAsia" w:hAnsiTheme="minorEastAsia" w:eastAsiaTheme="minorEastAsia"/>
          <w:sz w:val="32"/>
          <w:szCs w:val="32"/>
          <w:lang w:eastAsia="zh-CN"/>
        </w:rPr>
      </w:pPr>
      <w:r>
        <w:rPr>
          <w:rFonts w:hint="eastAsia" w:cs="黑体" w:asciiTheme="minorEastAsia" w:hAnsiTheme="minorEastAsia" w:eastAsiaTheme="minorEastAsia"/>
          <w:color w:val="000000"/>
          <w:kern w:val="0"/>
          <w:sz w:val="32"/>
          <w:szCs w:val="32"/>
          <w:lang w:val="en-US" w:eastAsia="zh-CN" w:bidi="ar-SA"/>
        </w:rPr>
        <w:t>9. 粮油物资储备支出（类）粮油事务（款）其他粮油事务支出（项）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油补省统筹资金。</w:t>
      </w:r>
    </w:p>
    <w:p>
      <w:pPr>
        <w:pStyle w:val="10"/>
        <w:ind w:firstLine="800" w:firstLineChars="250"/>
        <w:rPr>
          <w:rFonts w:hint="eastAsia" w:asciiTheme="minorEastAsia" w:hAnsiTheme="minorEastAsia" w:eastAsiaTheme="minorEastAsia"/>
          <w:sz w:val="32"/>
          <w:szCs w:val="32"/>
          <w:lang w:eastAsia="zh-CN"/>
        </w:rPr>
      </w:pPr>
      <w:r>
        <w:rPr>
          <w:rFonts w:hint="eastAsia" w:cs="黑体" w:asciiTheme="minorEastAsia" w:hAnsiTheme="minorEastAsia" w:eastAsiaTheme="minorEastAsia"/>
          <w:color w:val="000000"/>
          <w:kern w:val="0"/>
          <w:sz w:val="32"/>
          <w:szCs w:val="32"/>
          <w:lang w:val="en-US" w:eastAsia="zh-CN" w:bidi="ar-SA"/>
        </w:rPr>
        <w:t>10. 抗疫特别国债安排的支出（类）基础设施建设（款）交通基础设施建设（项）</w:t>
      </w:r>
      <w:r>
        <w:rPr>
          <w:rFonts w:hint="eastAsia" w:asciiTheme="minorEastAsia" w:hAnsiTheme="minorEastAsia" w:eastAsiaTheme="minorEastAsia"/>
          <w:sz w:val="32"/>
          <w:szCs w:val="32"/>
        </w:rPr>
        <w:t>年初预算为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1340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%，决算数大于年初预算数的主要原因是：</w:t>
      </w:r>
      <w:r>
        <w:rPr>
          <w:rFonts w:hint="eastAsia" w:asciiTheme="minorEastAsia" w:hAnsiTheme="minorEastAsia" w:eastAsiaTheme="minorEastAsia"/>
          <w:sz w:val="32"/>
          <w:szCs w:val="32"/>
          <w:lang w:eastAsia="zh-CN"/>
        </w:rPr>
        <w:t>公交总站建设资金。</w:t>
      </w:r>
    </w:p>
    <w:p>
      <w:pPr>
        <w:pStyle w:val="10"/>
        <w:rPr>
          <w:rFonts w:hAnsi="黑体"/>
          <w:b/>
          <w:sz w:val="32"/>
          <w:szCs w:val="32"/>
        </w:rPr>
      </w:pPr>
      <w:r>
        <w:rPr>
          <w:rFonts w:hint="eastAsia" w:hAnsi="黑体"/>
          <w:b/>
          <w:sz w:val="32"/>
          <w:szCs w:val="32"/>
        </w:rPr>
        <w:t>六、一般公共预算财政拨款基本支出决算情况说明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2020年度财政拨款基本支出</w:t>
      </w:r>
      <w:r>
        <w:rPr>
          <w:rFonts w:hint="eastAsia" w:asciiTheme="minorEastAsia" w:hAnsiTheme="minorEastAsia" w:eastAsiaTheme="minorEastAsia"/>
          <w:sz w:val="32"/>
          <w:szCs w:val="32"/>
          <w:lang w:val="en-US" w:eastAsia="zh-CN"/>
        </w:rPr>
        <w:t>1966.33</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1756.43</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89.34</w:t>
      </w:r>
      <w:r>
        <w:rPr>
          <w:rFonts w:hint="eastAsia" w:asciiTheme="minorEastAsia" w:hAnsiTheme="minorEastAsia" w:eastAsiaTheme="minorEastAsia"/>
          <w:sz w:val="32"/>
          <w:szCs w:val="32"/>
        </w:rPr>
        <w:t>%,主要包括基本工资、津贴补贴、奖金、伙食补助费；公用经费</w:t>
      </w:r>
      <w:r>
        <w:rPr>
          <w:rFonts w:hint="eastAsia" w:asciiTheme="minorEastAsia" w:hAnsiTheme="minorEastAsia" w:eastAsiaTheme="minorEastAsia"/>
          <w:sz w:val="32"/>
          <w:szCs w:val="32"/>
          <w:lang w:val="en-US" w:eastAsia="zh-CN"/>
        </w:rPr>
        <w:t>211.9</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12.06</w:t>
      </w:r>
      <w:r>
        <w:rPr>
          <w:rFonts w:hint="eastAsia" w:asciiTheme="minorEastAsia" w:hAnsiTheme="minorEastAsia" w:eastAsiaTheme="minorEastAsia"/>
          <w:sz w:val="32"/>
          <w:szCs w:val="32"/>
        </w:rPr>
        <w:t>%，主要包括办公费、印刷费、咨询费、手续费</w:t>
      </w:r>
      <w:r>
        <w:rPr>
          <w:rFonts w:hint="eastAsia" w:asciiTheme="minorEastAsia" w:hAnsiTheme="minorEastAsia" w:eastAsiaTheme="minorEastAsia"/>
          <w:sz w:val="32"/>
          <w:szCs w:val="32"/>
          <w:lang w:eastAsia="zh-CN"/>
        </w:rPr>
        <w:t>。</w:t>
      </w:r>
    </w:p>
    <w:p>
      <w:pPr>
        <w:pStyle w:val="10"/>
        <w:rPr>
          <w:rFonts w:hAnsi="黑体"/>
          <w:b/>
          <w:sz w:val="32"/>
          <w:szCs w:val="32"/>
        </w:rPr>
      </w:pPr>
      <w:r>
        <w:rPr>
          <w:rFonts w:hint="eastAsia" w:hAnsi="黑体"/>
          <w:b/>
          <w:sz w:val="32"/>
          <w:szCs w:val="32"/>
        </w:rPr>
        <w:t>七、一般公共预算财政拨款三公经费支出决算情况说明</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w:t>
      </w:r>
      <w:r>
        <w:rPr>
          <w:rFonts w:hint="eastAsia" w:asciiTheme="minorEastAsia" w:hAnsiTheme="minorEastAsia" w:eastAsiaTheme="minorEastAsia"/>
          <w:sz w:val="32"/>
          <w:szCs w:val="32"/>
          <w:lang w:val="en-US" w:eastAsia="zh-CN"/>
        </w:rPr>
        <w:t>22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103.27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469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12</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78.33</w:t>
      </w:r>
      <w:r>
        <w:rPr>
          <w:rFonts w:hint="eastAsia" w:asciiTheme="minorEastAsia" w:hAnsiTheme="minorEastAsia" w:eastAsiaTheme="minorEastAsia"/>
          <w:sz w:val="32"/>
          <w:szCs w:val="32"/>
        </w:rPr>
        <w:t>%，决算数小于预算数的主要原因是</w:t>
      </w:r>
      <w:r>
        <w:rPr>
          <w:rFonts w:hint="eastAsia" w:asciiTheme="minorEastAsia" w:hAnsiTheme="minorEastAsia" w:eastAsiaTheme="minorEastAsia"/>
          <w:sz w:val="32"/>
          <w:szCs w:val="32"/>
          <w:lang w:eastAsia="zh-CN"/>
        </w:rPr>
        <w:t>公务接待减少</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0.03</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0.3</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公务接待增加</w:t>
      </w:r>
      <w:r>
        <w:rPr>
          <w:rFonts w:hint="eastAsia" w:asciiTheme="minorEastAsia" w:hAnsiTheme="minorEastAsia" w:eastAsiaTheme="minorEastAsia"/>
          <w:sz w:val="32"/>
          <w:szCs w:val="32"/>
        </w:rPr>
        <w:t>。</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93.87</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938</w:t>
      </w:r>
      <w:r>
        <w:rPr>
          <w:rFonts w:hint="eastAsia" w:asciiTheme="minorEastAsia" w:hAnsiTheme="minorEastAsia" w:eastAsiaTheme="minorEastAsia"/>
          <w:sz w:val="32"/>
          <w:szCs w:val="32"/>
        </w:rPr>
        <w:t>%，决算数大于预算数的主要原因是</w:t>
      </w:r>
      <w:r>
        <w:rPr>
          <w:rFonts w:hint="eastAsia" w:asciiTheme="minorEastAsia" w:hAnsiTheme="minorEastAsia" w:eastAsiaTheme="minorEastAsia"/>
          <w:sz w:val="32"/>
          <w:szCs w:val="32"/>
          <w:lang w:eastAsia="zh-CN"/>
        </w:rPr>
        <w:t>增加了公务用车的购置</w:t>
      </w:r>
      <w:r>
        <w:rPr>
          <w:rFonts w:hint="eastAsia" w:asciiTheme="minorEastAsia" w:hAnsiTheme="minorEastAsia" w:eastAsiaTheme="minorEastAsia"/>
          <w:sz w:val="32"/>
          <w:szCs w:val="32"/>
        </w:rPr>
        <w:t>，与上年相比增加</w:t>
      </w:r>
      <w:r>
        <w:rPr>
          <w:rFonts w:hint="eastAsia" w:asciiTheme="minorEastAsia" w:hAnsiTheme="minorEastAsia" w:eastAsiaTheme="minorEastAsia"/>
          <w:sz w:val="32"/>
          <w:szCs w:val="32"/>
          <w:lang w:val="en-US" w:eastAsia="zh-CN"/>
        </w:rPr>
        <w:t>89.37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1995</w:t>
      </w:r>
      <w:r>
        <w:rPr>
          <w:rFonts w:hint="eastAsia" w:asciiTheme="minorEastAsia" w:hAnsiTheme="minorEastAsia" w:eastAsiaTheme="minorEastAsia"/>
          <w:sz w:val="32"/>
          <w:szCs w:val="32"/>
        </w:rPr>
        <w:t>%,增长的主要原因是</w:t>
      </w:r>
      <w:r>
        <w:rPr>
          <w:rFonts w:hint="eastAsia" w:asciiTheme="minorEastAsia" w:hAnsiTheme="minorEastAsia" w:eastAsiaTheme="minorEastAsia"/>
          <w:sz w:val="32"/>
          <w:szCs w:val="32"/>
          <w:lang w:eastAsia="zh-CN"/>
        </w:rPr>
        <w:t>公务用车的购置</w:t>
      </w:r>
      <w:r>
        <w:rPr>
          <w:rFonts w:hint="eastAsia" w:asciiTheme="minorEastAsia" w:hAnsiTheme="minorEastAsia" w:eastAsiaTheme="minorEastAsia"/>
          <w:sz w:val="32"/>
          <w:szCs w:val="32"/>
        </w:rPr>
        <w:t>。</w:t>
      </w:r>
    </w:p>
    <w:p>
      <w:pPr>
        <w:pStyle w:val="10"/>
        <w:rPr>
          <w:rFonts w:asciiTheme="minorEastAsia" w:hAnsiTheme="minorEastAsia" w:eastAsiaTheme="minorEastAsia"/>
          <w:b/>
          <w:sz w:val="32"/>
          <w:szCs w:val="32"/>
        </w:rPr>
      </w:pPr>
      <w:r>
        <w:rPr>
          <w:rFonts w:hint="eastAsia" w:asciiTheme="minorEastAsia" w:hAnsiTheme="minorEastAsia" w:eastAsiaTheme="minorEastAsia"/>
          <w:b/>
          <w:sz w:val="32"/>
          <w:szCs w:val="32"/>
        </w:rPr>
        <w:t>（二）“三公”经费财政拨款支出决算具体情况说明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2020年度“三公”经费财政拨款支出决算中，公务接待费支出决算</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9.1</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93.87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90.9</w:t>
      </w:r>
      <w:r>
        <w:rPr>
          <w:rFonts w:hint="eastAsia" w:asciiTheme="minorEastAsia" w:hAnsiTheme="minorEastAsia" w:eastAsiaTheme="minorEastAsia"/>
          <w:sz w:val="32"/>
          <w:szCs w:val="32"/>
        </w:rPr>
        <w:t>%。其中：</w:t>
      </w:r>
    </w:p>
    <w:p>
      <w:pPr>
        <w:pStyle w:val="10"/>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、公务接待费支出决算为</w:t>
      </w:r>
      <w:r>
        <w:rPr>
          <w:rFonts w:hint="eastAsia" w:asciiTheme="minorEastAsia" w:hAnsiTheme="minorEastAsia" w:eastAsiaTheme="minorEastAsia"/>
          <w:sz w:val="32"/>
          <w:szCs w:val="32"/>
          <w:lang w:val="en-US" w:eastAsia="zh-CN"/>
        </w:rPr>
        <w:t>9.4</w:t>
      </w:r>
      <w:r>
        <w:rPr>
          <w:rFonts w:hint="eastAsia" w:asciiTheme="minorEastAsia" w:hAnsiTheme="minorEastAsia" w:eastAsiaTheme="minorEastAsia"/>
          <w:sz w:val="32"/>
          <w:szCs w:val="32"/>
        </w:rPr>
        <w:t>万元，全年共接待来访团组</w:t>
      </w:r>
      <w:r>
        <w:rPr>
          <w:rFonts w:hint="eastAsia" w:asciiTheme="minorEastAsia" w:hAnsiTheme="minorEastAsia" w:eastAsiaTheme="minorEastAsia"/>
          <w:sz w:val="32"/>
          <w:szCs w:val="32"/>
          <w:lang w:val="en-US" w:eastAsia="zh-CN"/>
        </w:rPr>
        <w:t>26</w:t>
      </w:r>
      <w:r>
        <w:rPr>
          <w:rFonts w:hint="eastAsia" w:asciiTheme="minorEastAsia" w:hAnsiTheme="minorEastAsia" w:eastAsiaTheme="minorEastAsia"/>
          <w:sz w:val="32"/>
          <w:szCs w:val="32"/>
        </w:rPr>
        <w:t>个、来宾</w:t>
      </w:r>
      <w:r>
        <w:rPr>
          <w:rFonts w:hint="eastAsia" w:asciiTheme="minorEastAsia" w:hAnsiTheme="minorEastAsia" w:eastAsiaTheme="minorEastAsia"/>
          <w:sz w:val="32"/>
          <w:szCs w:val="32"/>
          <w:lang w:val="en-US" w:eastAsia="zh-CN"/>
        </w:rPr>
        <w:t>350</w:t>
      </w:r>
      <w:r>
        <w:rPr>
          <w:rFonts w:hint="eastAsia" w:asciiTheme="minorEastAsia" w:hAnsiTheme="minorEastAsia" w:eastAsiaTheme="minorEastAsia"/>
          <w:sz w:val="32"/>
          <w:szCs w:val="32"/>
        </w:rPr>
        <w:t>人次，主要是</w:t>
      </w:r>
      <w:r>
        <w:rPr>
          <w:rFonts w:hint="eastAsia" w:asciiTheme="minorEastAsia" w:hAnsiTheme="minorEastAsia" w:eastAsiaTheme="minorEastAsia"/>
          <w:sz w:val="32"/>
          <w:szCs w:val="32"/>
          <w:lang w:eastAsia="zh-CN"/>
        </w:rPr>
        <w:t>工作调研检查</w:t>
      </w:r>
      <w:r>
        <w:rPr>
          <w:rFonts w:hint="eastAsia" w:asciiTheme="minorEastAsia" w:hAnsiTheme="minorEastAsia" w:eastAsiaTheme="minorEastAsia"/>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lang w:val="en-US" w:eastAsia="zh-CN"/>
        </w:rPr>
        <w:t>2</w:t>
      </w:r>
      <w:r>
        <w:rPr>
          <w:rFonts w:hint="eastAsia" w:asciiTheme="minorEastAsia" w:hAnsiTheme="minorEastAsia"/>
          <w:sz w:val="32"/>
          <w:szCs w:val="32"/>
        </w:rPr>
        <w:t>、公务用车购置费及运行维护费支出决算为</w:t>
      </w:r>
      <w:r>
        <w:rPr>
          <w:rFonts w:hint="eastAsia" w:asciiTheme="minorEastAsia" w:hAnsiTheme="minorEastAsia"/>
          <w:sz w:val="32"/>
          <w:szCs w:val="32"/>
          <w:lang w:val="en-US" w:eastAsia="zh-CN"/>
        </w:rPr>
        <w:t>93.87</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82.65</w:t>
      </w:r>
      <w:r>
        <w:rPr>
          <w:rFonts w:hint="eastAsia" w:asciiTheme="minorEastAsia" w:hAnsiTheme="minorEastAsia"/>
          <w:sz w:val="32"/>
          <w:szCs w:val="32"/>
        </w:rPr>
        <w:t>万元，</w:t>
      </w:r>
      <w:r>
        <w:rPr>
          <w:rFonts w:hint="eastAsia" w:asciiTheme="minorEastAsia" w:hAnsiTheme="minorEastAsia"/>
          <w:sz w:val="32"/>
          <w:szCs w:val="32"/>
          <w:lang w:eastAsia="zh-CN"/>
        </w:rPr>
        <w:t>沅江市交通运输综合行政执法大队</w:t>
      </w:r>
      <w:r>
        <w:rPr>
          <w:rFonts w:hint="eastAsia" w:asciiTheme="minorEastAsia" w:hAnsiTheme="minorEastAsia"/>
          <w:sz w:val="32"/>
          <w:szCs w:val="32"/>
        </w:rPr>
        <w:t>更新公务用车</w:t>
      </w:r>
      <w:r>
        <w:rPr>
          <w:rFonts w:hint="eastAsia" w:asciiTheme="minorEastAsia" w:hAnsiTheme="minorEastAsia"/>
          <w:sz w:val="32"/>
          <w:szCs w:val="32"/>
          <w:lang w:val="en-US" w:eastAsia="zh-CN"/>
        </w:rPr>
        <w:t>8</w:t>
      </w:r>
      <w:r>
        <w:rPr>
          <w:rFonts w:hint="eastAsia" w:asciiTheme="minorEastAsia" w:hAnsiTheme="minorEastAsia"/>
          <w:sz w:val="32"/>
          <w:szCs w:val="32"/>
        </w:rPr>
        <w:t>辆</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11.22</w:t>
      </w:r>
      <w:r>
        <w:rPr>
          <w:rFonts w:hint="eastAsia" w:asciiTheme="minorEastAsia" w:hAnsiTheme="minorEastAsia"/>
          <w:sz w:val="32"/>
          <w:szCs w:val="32"/>
        </w:rPr>
        <w:t>万元，主要是</w:t>
      </w:r>
      <w:r>
        <w:rPr>
          <w:rFonts w:hint="eastAsia" w:asciiTheme="minorEastAsia" w:hAnsiTheme="minorEastAsia"/>
          <w:sz w:val="32"/>
          <w:szCs w:val="32"/>
          <w:lang w:eastAsia="zh-CN"/>
        </w:rPr>
        <w:t>油费和维修</w:t>
      </w:r>
      <w:r>
        <w:rPr>
          <w:rFonts w:hint="eastAsia" w:asciiTheme="minorEastAsia" w:hAnsiTheme="minorEastAsia"/>
          <w:sz w:val="32"/>
          <w:szCs w:val="32"/>
        </w:rPr>
        <w:t>支出，截止2020年12月31日，我单位开支财政拨款的公务用车保有量为</w:t>
      </w:r>
      <w:r>
        <w:rPr>
          <w:rFonts w:hint="eastAsia" w:asciiTheme="minorEastAsia" w:hAnsiTheme="minorEastAsia"/>
          <w:sz w:val="32"/>
          <w:szCs w:val="32"/>
          <w:lang w:val="en-US" w:eastAsia="zh-CN"/>
        </w:rPr>
        <w:t>10</w:t>
      </w:r>
      <w:r>
        <w:rPr>
          <w:rFonts w:hint="eastAsia" w:asciiTheme="minorEastAsia" w:hAnsiTheme="minorEastAsia"/>
          <w:sz w:val="32"/>
          <w:szCs w:val="32"/>
        </w:rPr>
        <w:t>辆。</w:t>
      </w:r>
    </w:p>
    <w:p>
      <w:pPr>
        <w:pStyle w:val="10"/>
        <w:rPr>
          <w:rFonts w:hAnsi="黑体"/>
          <w:b/>
          <w:sz w:val="32"/>
          <w:szCs w:val="32"/>
        </w:rPr>
      </w:pPr>
      <w:r>
        <w:rPr>
          <w:rFonts w:hint="eastAsia" w:hAnsi="黑体"/>
          <w:b/>
          <w:sz w:val="32"/>
          <w:szCs w:val="32"/>
        </w:rPr>
        <w:t>八、政府性基金预算收入支出决算情况</w:t>
      </w:r>
    </w:p>
    <w:p>
      <w:pPr>
        <w:pStyle w:val="1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 xml:space="preserve">     2020年度政府性基金预算财政拨款收入</w:t>
      </w:r>
      <w:r>
        <w:rPr>
          <w:rFonts w:hint="eastAsia" w:asciiTheme="minorEastAsia" w:hAnsiTheme="minorEastAsia" w:eastAsiaTheme="minorEastAsia"/>
          <w:sz w:val="32"/>
          <w:szCs w:val="32"/>
          <w:lang w:val="en-US" w:eastAsia="zh-CN"/>
        </w:rPr>
        <w:t>1340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1340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1340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10"/>
        <w:rPr>
          <w:rFonts w:hAnsi="黑体"/>
          <w:b/>
          <w:sz w:val="32"/>
          <w:szCs w:val="32"/>
        </w:rPr>
      </w:pPr>
      <w:r>
        <w:rPr>
          <w:rFonts w:hint="eastAsia" w:hAnsi="黑体"/>
          <w:b/>
          <w:sz w:val="32"/>
          <w:szCs w:val="32"/>
        </w:rPr>
        <w:t>九、关于机关运行经费支出说明</w:t>
      </w:r>
    </w:p>
    <w:p>
      <w:pPr>
        <w:pStyle w:val="10"/>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本部门2020年度机关运行经费支出</w:t>
      </w:r>
      <w:r>
        <w:rPr>
          <w:rFonts w:hint="eastAsia" w:asciiTheme="minorEastAsia" w:hAnsiTheme="minorEastAsia" w:eastAsiaTheme="minorEastAsia"/>
          <w:sz w:val="32"/>
          <w:szCs w:val="32"/>
          <w:lang w:val="en-US" w:eastAsia="zh-CN"/>
        </w:rPr>
        <w:t>218.9</w:t>
      </w:r>
      <w:r>
        <w:rPr>
          <w:rFonts w:hint="eastAsia" w:asciiTheme="minorEastAsia" w:hAnsiTheme="minorEastAsia" w:eastAsiaTheme="minorEastAsia"/>
          <w:sz w:val="32"/>
          <w:szCs w:val="32"/>
        </w:rPr>
        <w:t>万元，比上年决算数增加</w:t>
      </w:r>
      <w:r>
        <w:rPr>
          <w:rFonts w:hint="eastAsia" w:asciiTheme="minorEastAsia" w:hAnsiTheme="minorEastAsia" w:eastAsiaTheme="minorEastAsia"/>
          <w:sz w:val="32"/>
          <w:szCs w:val="32"/>
          <w:lang w:val="en-US" w:eastAsia="zh-CN"/>
        </w:rPr>
        <w:t>6.9</w:t>
      </w:r>
      <w:r>
        <w:rPr>
          <w:rFonts w:hint="eastAsia" w:asciiTheme="minorEastAsia" w:hAnsiTheme="minorEastAsia" w:eastAsiaTheme="minorEastAsia"/>
          <w:sz w:val="32"/>
          <w:szCs w:val="32"/>
        </w:rPr>
        <w:t xml:space="preserve"> 万元，增长</w:t>
      </w:r>
      <w:r>
        <w:rPr>
          <w:rFonts w:hint="eastAsia" w:asciiTheme="minorEastAsia" w:hAnsiTheme="minorEastAsia" w:eastAsiaTheme="minorEastAsia"/>
          <w:sz w:val="32"/>
          <w:szCs w:val="32"/>
          <w:lang w:val="en-US" w:eastAsia="zh-CN"/>
        </w:rPr>
        <w:t>3.25</w:t>
      </w:r>
      <w:r>
        <w:rPr>
          <w:rFonts w:hint="eastAsia" w:asciiTheme="minorEastAsia" w:hAnsiTheme="minorEastAsia" w:eastAsiaTheme="minorEastAsia"/>
          <w:sz w:val="32"/>
          <w:szCs w:val="32"/>
        </w:rPr>
        <w:t>%。主要原因是</w:t>
      </w:r>
      <w:r>
        <w:rPr>
          <w:rFonts w:hint="eastAsia" w:asciiTheme="minorEastAsia" w:hAnsiTheme="minorEastAsia" w:eastAsiaTheme="minorEastAsia"/>
          <w:sz w:val="32"/>
          <w:szCs w:val="32"/>
          <w:lang w:eastAsia="zh-CN"/>
        </w:rPr>
        <w:t>：人员增加。</w:t>
      </w:r>
    </w:p>
    <w:p>
      <w:pPr>
        <w:pStyle w:val="10"/>
        <w:rPr>
          <w:rFonts w:hAnsi="黑体"/>
          <w:b/>
          <w:sz w:val="32"/>
          <w:szCs w:val="32"/>
        </w:rPr>
      </w:pPr>
      <w:r>
        <w:rPr>
          <w:rFonts w:hint="eastAsia" w:hAnsi="黑体"/>
          <w:b/>
          <w:sz w:val="32"/>
          <w:szCs w:val="32"/>
        </w:rPr>
        <w:t>十、一般性支出情况</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w:t>
      </w:r>
      <w:r>
        <w:rPr>
          <w:rFonts w:hint="eastAsia" w:asciiTheme="minorEastAsia" w:hAnsiTheme="minorEastAsia" w:eastAsiaTheme="minorEastAsia"/>
          <w:sz w:val="32"/>
          <w:szCs w:val="32"/>
          <w:lang w:val="en-US" w:eastAsia="zh-CN"/>
        </w:rPr>
        <w:t>9.58</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eastAsia="zh-CN"/>
        </w:rPr>
        <w:t>安全</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240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安全生产例会</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6.11</w:t>
      </w:r>
      <w:r>
        <w:rPr>
          <w:rFonts w:hint="eastAsia" w:asciiTheme="minorEastAsia" w:hAnsiTheme="minorEastAsia" w:eastAsiaTheme="minorEastAsia"/>
          <w:sz w:val="32"/>
          <w:szCs w:val="32"/>
        </w:rPr>
        <w:t>万元，用于开展</w:t>
      </w:r>
      <w:r>
        <w:rPr>
          <w:rFonts w:hint="eastAsia" w:asciiTheme="minorEastAsia" w:hAnsiTheme="minorEastAsia" w:eastAsiaTheme="minorEastAsia"/>
          <w:sz w:val="32"/>
          <w:szCs w:val="32"/>
          <w:lang w:eastAsia="zh-CN"/>
        </w:rPr>
        <w:t>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150</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eastAsia="zh-CN"/>
        </w:rPr>
        <w:t>执法培训。</w:t>
      </w:r>
    </w:p>
    <w:p>
      <w:pPr>
        <w:pStyle w:val="10"/>
        <w:rPr>
          <w:rFonts w:hAnsi="黑体"/>
          <w:b/>
          <w:sz w:val="32"/>
          <w:szCs w:val="32"/>
        </w:rPr>
      </w:pPr>
      <w:r>
        <w:rPr>
          <w:rFonts w:hint="eastAsia" w:hAnsi="黑体"/>
          <w:b/>
          <w:sz w:val="32"/>
          <w:szCs w:val="32"/>
        </w:rPr>
        <w:t>十一、关于政府采购支出说明</w:t>
      </w:r>
      <w:bookmarkStart w:id="3" w:name="_GoBack"/>
      <w:bookmarkEnd w:id="3"/>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w:t>
      </w:r>
      <w:r>
        <w:rPr>
          <w:rFonts w:hint="eastAsia" w:asciiTheme="minorEastAsia" w:hAnsiTheme="minorEastAsia" w:eastAsiaTheme="minorEastAsia"/>
          <w:sz w:val="32"/>
          <w:szCs w:val="32"/>
          <w:lang w:val="en-US" w:eastAsia="zh-CN"/>
        </w:rPr>
        <w:t>7811.41</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88.41</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6651.08</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1071.92</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7811.41</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%，其中：授予小微企业合同金额</w:t>
      </w:r>
      <w:r>
        <w:rPr>
          <w:rFonts w:hint="eastAsia" w:asciiTheme="minorEastAsia" w:hAnsiTheme="minorEastAsia" w:eastAsiaTheme="minorEastAsia"/>
          <w:sz w:val="32"/>
          <w:szCs w:val="32"/>
          <w:lang w:val="en-US" w:eastAsia="zh-CN"/>
        </w:rPr>
        <w:t>7811.41</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p>
    <w:p>
      <w:pPr>
        <w:pStyle w:val="10"/>
        <w:rPr>
          <w:rFonts w:hAnsi="黑体"/>
          <w:b/>
          <w:sz w:val="32"/>
          <w:szCs w:val="32"/>
        </w:rPr>
      </w:pPr>
      <w:r>
        <w:rPr>
          <w:rFonts w:hint="eastAsia" w:hAnsi="黑体"/>
          <w:b/>
          <w:sz w:val="32"/>
          <w:szCs w:val="32"/>
        </w:rPr>
        <w:t>十二、关于国有资产占用情况说明</w:t>
      </w:r>
    </w:p>
    <w:p>
      <w:pPr>
        <w:pStyle w:val="10"/>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10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10"/>
        <w:rPr>
          <w:rFonts w:hAnsi="黑体"/>
          <w:b/>
          <w:sz w:val="32"/>
          <w:szCs w:val="32"/>
        </w:rPr>
      </w:pPr>
      <w:r>
        <w:rPr>
          <w:rFonts w:hint="eastAsia" w:hAnsi="黑体"/>
          <w:b/>
          <w:sz w:val="32"/>
          <w:szCs w:val="32"/>
        </w:rPr>
        <w:t>十三、关于2020年度预算绩效情况的说明</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（一）绩效管理工作开展情况 。</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进行了部门整体支出绩效评价和专项资金绩效评价。</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（二）部门决算中项目绩效自评结果为良好 。</w:t>
      </w:r>
    </w:p>
    <w:p>
      <w:pPr>
        <w:pStyle w:val="10"/>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（三）以部门为主体开展的重点绩效评价结果为良好。</w:t>
      </w:r>
    </w:p>
    <w:p>
      <w:pPr>
        <w:pStyle w:val="10"/>
        <w:rPr>
          <w:rFonts w:hAnsi="黑体"/>
          <w:b/>
          <w:sz w:val="32"/>
          <w:szCs w:val="3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3"/>
        <w:jc w:val="left"/>
        <w:rPr>
          <w:rFonts w:ascii="仿宋" w:hAnsi="仿宋" w:eastAsia="仿宋" w:cs="仿宋"/>
          <w:sz w:val="32"/>
        </w:rPr>
      </w:pPr>
      <w:r>
        <w:rPr>
          <w:rFonts w:ascii="仿宋" w:hAnsi="仿宋" w:eastAsia="仿宋" w:cs="仿宋"/>
          <w:b/>
          <w:sz w:val="32"/>
        </w:rPr>
        <w:t>一、财政拨款收入：</w:t>
      </w:r>
      <w:r>
        <w:rPr>
          <w:rFonts w:ascii="仿宋" w:hAnsi="仿宋" w:eastAsia="仿宋" w:cs="仿宋"/>
          <w:sz w:val="32"/>
        </w:rPr>
        <w:t xml:space="preserve">指中央财政当年拨付的资金。 </w:t>
      </w:r>
    </w:p>
    <w:p>
      <w:pPr>
        <w:ind w:firstLine="643"/>
        <w:jc w:val="left"/>
        <w:rPr>
          <w:rFonts w:ascii="仿宋" w:hAnsi="仿宋" w:eastAsia="仿宋" w:cs="仿宋"/>
          <w:sz w:val="32"/>
        </w:rPr>
      </w:pPr>
      <w:r>
        <w:rPr>
          <w:rFonts w:ascii="仿宋" w:hAnsi="仿宋" w:eastAsia="仿宋" w:cs="仿宋"/>
          <w:b/>
          <w:sz w:val="32"/>
        </w:rPr>
        <w:t>二、事业收入：</w:t>
      </w:r>
      <w:r>
        <w:rPr>
          <w:rFonts w:ascii="仿宋" w:hAnsi="仿宋" w:eastAsia="仿宋" w:cs="仿宋"/>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32"/>
        </w:rPr>
      </w:pPr>
      <w:r>
        <w:rPr>
          <w:rFonts w:ascii="仿宋" w:hAnsi="仿宋" w:eastAsia="仿宋" w:cs="仿宋"/>
          <w:b/>
          <w:sz w:val="32"/>
        </w:rPr>
        <w:t>三、经营收入：</w:t>
      </w:r>
      <w:r>
        <w:rPr>
          <w:rFonts w:ascii="仿宋" w:hAnsi="仿宋" w:eastAsia="仿宋" w:cs="仿宋"/>
          <w:sz w:val="32"/>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32"/>
        </w:rPr>
      </w:pPr>
      <w:r>
        <w:rPr>
          <w:rFonts w:ascii="仿宋" w:hAnsi="仿宋" w:eastAsia="仿宋" w:cs="仿宋"/>
          <w:b/>
          <w:sz w:val="32"/>
        </w:rPr>
        <w:t>四、其他收入：</w:t>
      </w:r>
      <w:r>
        <w:rPr>
          <w:rFonts w:ascii="仿宋" w:hAnsi="仿宋" w:eastAsia="仿宋" w:cs="仿宋"/>
          <w:sz w:val="32"/>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32"/>
        </w:rPr>
      </w:pPr>
      <w:r>
        <w:rPr>
          <w:rFonts w:ascii="仿宋" w:hAnsi="仿宋" w:eastAsia="仿宋" w:cs="仿宋"/>
          <w:b/>
          <w:sz w:val="32"/>
        </w:rPr>
        <w:t>五、用事业基金弥补收支差额：</w:t>
      </w:r>
      <w:r>
        <w:rPr>
          <w:rFonts w:ascii="仿宋" w:hAnsi="仿宋" w:eastAsia="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32"/>
        </w:rPr>
      </w:pPr>
      <w:r>
        <w:rPr>
          <w:rFonts w:ascii="仿宋" w:hAnsi="仿宋" w:eastAsia="仿宋" w:cs="仿宋"/>
          <w:b/>
          <w:sz w:val="32"/>
        </w:rPr>
        <w:t>六、年初结转和结余：</w:t>
      </w:r>
      <w:r>
        <w:rPr>
          <w:rFonts w:ascii="仿宋" w:hAnsi="仿宋" w:eastAsia="仿宋" w:cs="仿宋"/>
          <w:sz w:val="32"/>
        </w:rPr>
        <w:t xml:space="preserve">指以前年度尚未完成、结转到本年按有关规定继续使用的资金。 </w:t>
      </w:r>
    </w:p>
    <w:p>
      <w:pPr>
        <w:ind w:firstLine="643"/>
        <w:jc w:val="left"/>
        <w:rPr>
          <w:rFonts w:ascii="仿宋" w:hAnsi="仿宋" w:eastAsia="仿宋" w:cs="仿宋"/>
          <w:sz w:val="32"/>
        </w:rPr>
      </w:pPr>
      <w:r>
        <w:rPr>
          <w:rFonts w:ascii="仿宋" w:hAnsi="仿宋" w:eastAsia="仿宋" w:cs="仿宋"/>
          <w:b/>
          <w:sz w:val="32"/>
        </w:rPr>
        <w:t>七、结余分配：</w:t>
      </w:r>
      <w:r>
        <w:rPr>
          <w:rFonts w:ascii="仿宋" w:hAnsi="仿宋" w:eastAsia="仿宋" w:cs="仿宋"/>
          <w:sz w:val="32"/>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32"/>
        </w:rPr>
      </w:pPr>
      <w:r>
        <w:rPr>
          <w:rFonts w:ascii="仿宋" w:hAnsi="仿宋" w:eastAsia="仿宋" w:cs="仿宋"/>
          <w:b/>
          <w:sz w:val="32"/>
        </w:rPr>
        <w:t>八、年末结转和结余：</w:t>
      </w:r>
      <w:r>
        <w:rPr>
          <w:rFonts w:ascii="仿宋" w:hAnsi="仿宋" w:eastAsia="仿宋" w:cs="仿宋"/>
          <w:sz w:val="32"/>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32"/>
        </w:rPr>
      </w:pPr>
      <w:r>
        <w:rPr>
          <w:rFonts w:ascii="仿宋" w:hAnsi="仿宋" w:eastAsia="仿宋" w:cs="仿宋"/>
          <w:b/>
          <w:sz w:val="32"/>
        </w:rPr>
        <w:t>九、基本支出：</w:t>
      </w:r>
      <w:r>
        <w:rPr>
          <w:rFonts w:ascii="仿宋" w:hAnsi="仿宋" w:eastAsia="仿宋" w:cs="仿宋"/>
          <w:sz w:val="32"/>
        </w:rPr>
        <w:t>指为保障机构正常运转、完成日常工</w:t>
      </w:r>
    </w:p>
    <w:p>
      <w:pPr>
        <w:jc w:val="left"/>
        <w:rPr>
          <w:rFonts w:ascii="仿宋" w:hAnsi="仿宋" w:eastAsia="仿宋" w:cs="仿宋"/>
          <w:sz w:val="32"/>
        </w:rPr>
      </w:pPr>
      <w:r>
        <w:rPr>
          <w:rFonts w:ascii="仿宋" w:hAnsi="仿宋" w:eastAsia="仿宋" w:cs="仿宋"/>
          <w:sz w:val="32"/>
        </w:rPr>
        <w:t xml:space="preserve">作任务而发生的人员支出和公用支出。 </w:t>
      </w:r>
    </w:p>
    <w:p>
      <w:pPr>
        <w:ind w:firstLine="643"/>
        <w:jc w:val="left"/>
        <w:rPr>
          <w:rFonts w:ascii="仿宋" w:hAnsi="仿宋" w:eastAsia="仿宋" w:cs="仿宋"/>
          <w:sz w:val="32"/>
        </w:rPr>
      </w:pPr>
      <w:r>
        <w:rPr>
          <w:rFonts w:ascii="仿宋" w:hAnsi="仿宋" w:eastAsia="仿宋" w:cs="仿宋"/>
          <w:b/>
          <w:sz w:val="32"/>
        </w:rPr>
        <w:t>十、项目支出：</w:t>
      </w:r>
      <w:r>
        <w:rPr>
          <w:rFonts w:ascii="仿宋" w:hAnsi="仿宋" w:eastAsia="仿宋" w:cs="仿宋"/>
          <w:sz w:val="32"/>
        </w:rPr>
        <w:t xml:space="preserve">指在基本支出之外为完成特定行政任务和事业发展目标所发生的支出。 </w:t>
      </w:r>
    </w:p>
    <w:p>
      <w:pPr>
        <w:ind w:firstLine="643"/>
        <w:jc w:val="left"/>
        <w:rPr>
          <w:rFonts w:ascii="仿宋" w:hAnsi="仿宋" w:eastAsia="仿宋" w:cs="仿宋"/>
          <w:sz w:val="32"/>
        </w:rPr>
      </w:pPr>
      <w:r>
        <w:rPr>
          <w:rFonts w:ascii="仿宋" w:hAnsi="仿宋" w:eastAsia="仿宋" w:cs="仿宋"/>
          <w:b/>
          <w:sz w:val="32"/>
        </w:rPr>
        <w:t>十一、经营支出：</w:t>
      </w:r>
      <w:r>
        <w:rPr>
          <w:rFonts w:ascii="仿宋" w:hAnsi="仿宋" w:eastAsia="仿宋" w:cs="仿宋"/>
          <w:sz w:val="32"/>
        </w:rPr>
        <w:t xml:space="preserve">指事业单位在专业业务活动及其辅助活动之外开展非独立核算经营活动发生的支出。 </w:t>
      </w:r>
    </w:p>
    <w:p>
      <w:pPr>
        <w:ind w:firstLine="643"/>
        <w:jc w:val="left"/>
        <w:rPr>
          <w:rFonts w:ascii="仿宋" w:hAnsi="仿宋" w:eastAsia="仿宋" w:cs="仿宋"/>
          <w:sz w:val="32"/>
        </w:rPr>
      </w:pPr>
      <w:r>
        <w:rPr>
          <w:rFonts w:ascii="仿宋" w:hAnsi="仿宋" w:eastAsia="仿宋" w:cs="仿宋"/>
          <w:b/>
          <w:sz w:val="32"/>
        </w:rPr>
        <w:t>十二、“三公”经费：</w:t>
      </w:r>
      <w:r>
        <w:rPr>
          <w:rFonts w:ascii="仿宋" w:hAnsi="仿宋" w:eastAsia="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32"/>
        </w:rPr>
      </w:pPr>
      <w:r>
        <w:rPr>
          <w:rFonts w:ascii="仿宋" w:hAnsi="仿宋" w:eastAsia="仿宋" w:cs="仿宋"/>
          <w:b/>
          <w:sz w:val="32"/>
        </w:rPr>
        <w:t>十三、机关运行经费：</w:t>
      </w:r>
      <w:r>
        <w:rPr>
          <w:rFonts w:ascii="仿宋" w:hAnsi="仿宋" w:eastAsia="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p>
    <w:p>
      <w:pPr>
        <w:pStyle w:val="10"/>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一、部门基本情况</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（一）机构设置情况</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交通局机关内设职能股室11个，所属事业单位</w:t>
      </w:r>
      <w:r>
        <w:rPr>
          <w:rFonts w:hint="eastAsia" w:cs="黑体" w:asciiTheme="minorEastAsia" w:hAnsiTheme="minorEastAsia"/>
          <w:color w:val="000000"/>
          <w:kern w:val="0"/>
          <w:sz w:val="32"/>
          <w:szCs w:val="32"/>
          <w:lang w:val="en-US" w:eastAsia="zh-CN" w:bidi="ar-SA"/>
        </w:rPr>
        <w:t>4</w:t>
      </w:r>
      <w:r>
        <w:rPr>
          <w:rFonts w:hint="eastAsia" w:cs="黑体" w:asciiTheme="minorEastAsia" w:hAnsiTheme="minorEastAsia" w:eastAsiaTheme="minorEastAsia"/>
          <w:color w:val="000000"/>
          <w:kern w:val="0"/>
          <w:sz w:val="32"/>
          <w:szCs w:val="32"/>
          <w:lang w:val="en-US" w:eastAsia="zh-CN" w:bidi="ar-SA"/>
        </w:rPr>
        <w:t>个即沅江市交通运输综合行政执法大队、沅江市道路运输服务中心、沅江市交通建设质量安全监督站、沅江市水运事务中心，所属企业单位4个即公汽公司、汽运公司、装卸公司、水运公司。</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（二）人员情况</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我局纳入部门预算编制269人。其中：公务员及参公人员16人，事业编制人员193人，城镇退伍60人，离退休人员88人，遗属15人。</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（三）主要工作职责</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1.贯彻执行国家、省市交通运输法律、法规和政策；参与起草交通运输地方性法规、制度；拟定全市交通运输行业管理规范性文件。</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2.根据权限负责全市交通运输行业行政许可、行政处罚、行政强制、行政检查和实施其他行政权力；委托授权相关单位实施行政处罚、行政强制、行政检查和其他行政权力；负责全市交通行政执法检查监督。</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组织拟订全市综合交通运输发展规划，指导协调执行交通运输规划，组织编制全市公路、水路等交通基础设施发展年度计划并监督实施；参与拟订和实施全市物流业发展战略和规划，拟定有关物流发展的政策和标准并监督实施；负责交通运输行业统计工作。</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4.负责全市交通基础设施建设和质量安全监管，负责监督执行交通基础设施建设与维护的技术规范和标准，维护交通建设市秩序，负责交通工程造价、工程质量、安全生产的监督管理；组织指导全市交通设施的维护；承担全市公路、水路等交通基本建设项目的绩效监督和管理。</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5.负责全市道路运输市场管理。负责机动车维护和营运车辆检测等行业管理；负责道路运输行业从业人员技术培训和定级管理；监督执行交通运输政策、技术规范和技术标准，优化交通运输行业结构；组织指导全市城乡客货运输；组织协调国家重点物质和应急客货运输，维护交通运输市场秩序。</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6.负责全市水路运输市场管理。负责辖区内水上交通企业、营运船舶的审批管理；负责组织协调水上重点物资、防汛抢险的船舶调运工作；负责水运综合统计和统计信息系统的管理工作；负责水上交通运输安全监督管理。</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7.负责全市公路、水路等交通设施投资管理。负责提出交通固定资产规模、方向和财政性资金安排的建议；按市政府规定权限审批，核准交通固定资产投资项目；负责交通运输预算内资金的申请和拨付。</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8.组织指导局所属单位职工培训、人才交流和劳资工作；负责所属单位干部管理。</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9.拟定地方性交通运输行业科技政策和规划、组织重大科技开发、推动行业技术进步、推进交通运输信息化建设、指导行业内环境保护和节能减排工作。</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10.组织协调全市地方交通战备工作，指导开展对外交流合作。</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11.承办市委、市人民政府和上级业务主管部门交办的其他事项。</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二、部门整体支出管理及使用情况</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（一）基本支出的管理和使用情况</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1.2020年基本支出预算1819.61万元。其中工资福利支出1611.132万元，对个人和家庭的补助8.478万元，一般商品和服务支出200万元。</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2.2020年单位预算收入1965.61万元，其中：一般公共预算拨款1735.61万元，纳入公共预算管理的非税拨款140万元，其他收入90万元。预算总支出1965.61万元。</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3.2020年度预算收入决算合计10036万元，其中：财政拨款收入9895万元，其他收入140万元。</w:t>
      </w:r>
    </w:p>
    <w:p>
      <w:pPr>
        <w:ind w:firstLine="640"/>
        <w:jc w:val="left"/>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4.2020年度预算支出决算合计12359万元，其中：基本支出1972万元，项目支出10387万元。2020年末无基本支出结转，其中年初结余9万元。2020年末无项目支出结余，其中年初结余2314万元。</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5. 2020年，我局“三公”经费财政拨款预算数22万元，其中：公务接待费12万元，公务用车购置及运行维护费10万元。</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6. 2020年“三公”经费决算为103.27万元，其中：公务接待费9.4万元，公务用车购置及运行维护费93.87万元。</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 xml:space="preserve">7. 2020年“三公”经费决算为103.27万元，较2019年13.86万元，增加89.41万元。 </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（二）专项支出的管理和使用情况</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1.2020年业务类工作专项146万元。主要用于：立项争资15万元，出租车管理支出20万元，出租车改革支出5万元，交通安全经费20万元，服装采购专项30万元，交通维稳36万元，治超专项20万元。</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2.2020年项目支出10387万元。其中，春运工作15万元，立项争资12万元，出租车管理支出16万元，出租车改革4万元，交通维稳8万元，治超治限16万元，禁捕退捕20万元，自然村通水泥路2863万元，窄路加宽781万元，招呼站建设160万元，客运站疫情防控25万元，重要县乡道57万元，边界路断头路676万元，农村公路建设28万元，百合车站100万元，公交总站1540万元，漉乐线929万元，黄家河大桥183万元，公交车补贴1739.25万元，企业维稳200万元，设备采购和维修经费200万元。</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三、部门专项组织实施情况</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我局加强专项项目组织管理，严格落实项目法人责任制、招投标制、合同管理制等有关制度，确保交通建设项目的质量。根据项目特点和要求明确各类项目管理责任单位。各责任单位对各类专项项目开展实施、组织和验收等工作。</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严格执行项目预、决算审核制度，严禁擅自调整交通专项工程的计划、内容和规模。严格按照既定的项目实施方案，即使整编完工项目验收资料，认真开展项目竣工验收和财务决算工作，尽快办理竣工决算手续。严格按程序结算工程款项，确保各类项目的顺利实施，充分发挥资金的使用效益。</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四、部门整体支出绩效情况</w:t>
      </w:r>
    </w:p>
    <w:p>
      <w:pPr>
        <w:ind w:firstLine="640"/>
        <w:jc w:val="left"/>
        <w:rPr>
          <w:rFonts w:hint="default"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2020年，在新冠肺炎疫情给经济社会发展带来较大冲击、经济下行压力较大的情况下，我局在市委、市政府的正确领导和上级交通主管部门的大力支持下，积极对接我市</w:t>
      </w:r>
      <w:r>
        <w:rPr>
          <w:rFonts w:hint="default" w:cs="黑体" w:asciiTheme="minorEastAsia" w:hAnsiTheme="minorEastAsia" w:eastAsiaTheme="minorEastAsia"/>
          <w:color w:val="000000"/>
          <w:kern w:val="0"/>
          <w:sz w:val="32"/>
          <w:szCs w:val="32"/>
          <w:lang w:val="en-US" w:eastAsia="zh-CN" w:bidi="ar-SA"/>
        </w:rPr>
        <w:t>“产业强市、生态名市、文化特色市”发展目标和“湖城、湖岛、湖洲、湖乡”发展格局，紧密围绕“建设交通强市”这个主题谋篇布局，施策发力，推动我市交通运输工作不断开创新局面。</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（一）全力助推项目建设不断取得新进展。</w:t>
      </w:r>
      <w:r>
        <w:rPr>
          <w:rFonts w:hint="default" w:cs="黑体" w:asciiTheme="minorEastAsia" w:hAnsiTheme="minorEastAsia" w:eastAsiaTheme="minorEastAsia"/>
          <w:color w:val="000000"/>
          <w:kern w:val="0"/>
          <w:sz w:val="32"/>
          <w:szCs w:val="32"/>
          <w:lang w:val="en-US" w:eastAsia="zh-CN" w:bidi="ar-SA"/>
        </w:rPr>
        <w:t>S313漉乐线今年已投资6000万元，除南大膳镇改线段因土地障碍不能施工外，剩余绿化及其他附属设施建设任务已全部完成；S220茶草线（黄茅洲大桥南至八形汊公路）路基工程已完成100%，路面基层工程已完成50%，预计今年年底完成主体工程并进入试营运，计划2021年上半年完成绿化及环境保护工程。G234赤山岛段改建工程已完成提质改造。同时，该段改建工程已纳入省交通运输“十四五”发展规划，后阶段我局将加快推进前期工作的开展，争取早日启动项目建设。S317竹莲互通连接线至本月累计完成产值940万元。预计年底完成主体工程并实现通车试运行。S507茶盘洲至黄茅洲大桥南公路目前正在进行树木砍伐和房屋拆迁。计划年底完成部分路基工程建设。S71南益高速南嘴互通及连接线工程正在与省国资委积极对接，力争2021年3月动工建设。“洞庭乡愁”第一期农村旅游公路建设任务已于6月底完成，总投资964万元。公交总站已完成综合大楼主体工程，现进入外墙装修阶段。</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（二）奋力完成重点民生实事目标任务。</w:t>
      </w:r>
      <w:r>
        <w:rPr>
          <w:rFonts w:hint="default" w:cs="黑体" w:asciiTheme="minorEastAsia" w:hAnsiTheme="minorEastAsia" w:eastAsiaTheme="minorEastAsia"/>
          <w:color w:val="000000"/>
          <w:kern w:val="0"/>
          <w:sz w:val="32"/>
          <w:szCs w:val="32"/>
          <w:lang w:val="en-US" w:eastAsia="zh-CN" w:bidi="ar-SA"/>
        </w:rPr>
        <w:t>一是通自然村公路建设。根据年初计划，今年共投资4828余万元，已完成112.863km脱贫攻坚公路和省计划13.725km通自然村公路建设任务。二是重要县乡道。今年计划投资1.8亿元，完成84.838km重要县乡道的拓宽提质改造，目前施工单位已进场，正在进行路基验收及施工任务。三是农村公路安保工程建设情况。投资607万元已完成涉及16条线路和包括草尾、四季红、阳罗、黄茅洲、共华、泗湖山、新湾、胭脂湖在内的8个镇、街道的生命安全防护工程治理隐患里程74.637km。四是农村危桥改造工作情况。投资324万元完成危桥改造9座。</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（三）扎实开展各项集中整治行动。</w:t>
      </w:r>
      <w:r>
        <w:rPr>
          <w:rFonts w:hint="default" w:cs="黑体" w:asciiTheme="minorEastAsia" w:hAnsiTheme="minorEastAsia" w:eastAsiaTheme="minorEastAsia"/>
          <w:color w:val="000000"/>
          <w:kern w:val="0"/>
          <w:sz w:val="32"/>
          <w:szCs w:val="32"/>
          <w:lang w:val="en-US" w:eastAsia="zh-CN" w:bidi="ar-SA"/>
        </w:rPr>
        <w:t>持续集中整治各类交通问题顽瘴痼疾。水上执法现场纠偏146起，下发隐患整改通知书5份，摸排“三无”船舶1073艘，查处非客船载客4起，移送公安机关处理4人，查处水污染案件3起；路政治超共检测车辆200274台，查处281台，一超四究信息抄告单281份；路面巡查里程近35000公里，下发各类整改通知书及责令消除违法行为通知书共计200余份，清理路障及路面堆积物110多处，拆除非公路标志200余块，劝阻并清理占道经营摊点1100多处，查处路损案件9起，查处行政处罚案件4起；运政执法查扣非法营运车辆180余台次。</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（四）稳步推进“城乡客运一体化”示范县创建。</w:t>
      </w:r>
      <w:r>
        <w:rPr>
          <w:rFonts w:hint="default" w:cs="黑体" w:asciiTheme="minorEastAsia" w:hAnsiTheme="minorEastAsia" w:eastAsiaTheme="minorEastAsia"/>
          <w:color w:val="000000"/>
          <w:kern w:val="0"/>
          <w:sz w:val="32"/>
          <w:szCs w:val="32"/>
          <w:lang w:val="en-US" w:eastAsia="zh-CN" w:bidi="ar-SA"/>
        </w:rPr>
        <w:t>成立了创建工作组织机构，制定了工作计划，出台了初步实施方案。根据我市城乡客运场站发展现状和建设需求，拟定了“城乡客运一体化”发展规划。</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（五）深入开展非法渡口、码头专项整治工作。</w:t>
      </w:r>
      <w:r>
        <w:rPr>
          <w:rFonts w:hint="default" w:cs="黑体" w:asciiTheme="minorEastAsia" w:hAnsiTheme="minorEastAsia" w:eastAsiaTheme="minorEastAsia"/>
          <w:color w:val="000000"/>
          <w:kern w:val="0"/>
          <w:sz w:val="32"/>
          <w:szCs w:val="32"/>
          <w:lang w:val="en-US" w:eastAsia="zh-CN" w:bidi="ar-SA"/>
        </w:rPr>
        <w:t>目前，我市待拆除的1处渡口（星火渡口）已于11月底拆除到位并复绿；3处待拆除的非法码头，其中2处已完成拆除并复绿工作，1处已报上级调整为规范提升码头。另外12处渡口、5处码头的规范提升工作2021年6月底前完成。</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w:t>
      </w:r>
      <w:r>
        <w:rPr>
          <w:rFonts w:hint="default" w:cs="黑体" w:asciiTheme="minorEastAsia" w:hAnsiTheme="minorEastAsia" w:eastAsiaTheme="minorEastAsia"/>
          <w:color w:val="000000"/>
          <w:kern w:val="0"/>
          <w:sz w:val="32"/>
          <w:szCs w:val="32"/>
          <w:lang w:val="en-US" w:eastAsia="zh-CN" w:bidi="ar-SA"/>
        </w:rPr>
        <w:t>积极推动综合行政执法改革。整合精简公路、水上、运政、工程质量监督管理等方面行政检查事项；组建交通运输综合行政执法大队，实行“局队合一”的管理体制；在全系统内首推正股级职位竞争上岗，顺利完成了执法大队的组建及规范化管理。</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五、存在的主要问题</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无</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六、改进措施和有关建议</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（一）由于我局承担全市交通基础设施的申报立项工作，前期支出较大。希望加大对我局项目工作前期经费。</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（二）我局企业较多，涉及的参军人员、特困人员较多，维稳任务较大。我局为维护企业和员工队伍稳定做出了巨大的牺牲。希望财政考虑增加我局的维稳经费。</w:t>
      </w:r>
    </w:p>
    <w:p>
      <w:pPr>
        <w:ind w:firstLine="64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（三）我局安全生产工作任务繁重，承担着公路治超，出租车公司化等中心工作，缺少相应的工作经费，望市财政作预算时予以考虑。</w:t>
      </w:r>
    </w:p>
    <w:p>
      <w:pPr>
        <w:ind w:firstLine="640"/>
        <w:jc w:val="left"/>
        <w:rPr>
          <w:rFonts w:hint="eastAsia" w:cs="黑体" w:asciiTheme="minorEastAsia" w:hAnsiTheme="minorEastAsia" w:eastAsiaTheme="minorEastAsia"/>
          <w:color w:val="000000"/>
          <w:kern w:val="0"/>
          <w:sz w:val="32"/>
          <w:szCs w:val="32"/>
          <w:lang w:val="en-US" w:eastAsia="zh-CN" w:bidi="ar-SA"/>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111C5F59"/>
    <w:rsid w:val="25092ACD"/>
    <w:rsid w:val="30DB19C9"/>
    <w:rsid w:val="70503898"/>
    <w:rsid w:val="7B427E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8E8E99-0876-4457-84BE-74A901AF77D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1212</Words>
  <Characters>6911</Characters>
  <Lines>57</Lines>
  <Paragraphs>16</Paragraphs>
  <TotalTime>11</TotalTime>
  <ScaleCrop>false</ScaleCrop>
  <LinksUpToDate>false</LinksUpToDate>
  <CharactersWithSpaces>8107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筱梓</cp:lastModifiedBy>
  <cp:lastPrinted>2021-07-28T00:12:00Z</cp:lastPrinted>
  <dcterms:modified xsi:type="dcterms:W3CDTF">2021-08-19T08:31:05Z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ED87B013A61644658F503749DA97463B</vt:lpwstr>
  </property>
</Properties>
</file>