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lang w:val="en-US" w:eastAsia="zh-CN" w:bidi="ar-SA"/>
          <w:rFonts w:ascii="黑体" w:eastAsia="黑体" w:hAnsi="黑体"/>
        </w:rPr>
        <w:widowControl/>
        <w:snapToGrid w:val="0"/>
        <w:spacing w:line="560" w:after="0" w:lineRule="exact"/>
        <w:jc w:val="center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lang w:val="en-US" w:eastAsia="zh-CN" w:bidi="ar-SA"/>
          <w:rFonts w:ascii="黑体" w:eastAsia="黑体" w:hAnsi="黑体"/>
        </w:rPr>
        <w:widowControl/>
        <w:snapToGrid w:val="0"/>
        <w:spacing w:line="560" w:after="0" w:lineRule="exact"/>
        <w:jc w:val="center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spacing w:line="560" w:after="0" w:lineRule="exact"/>
        <w:jc w:val="center"/>
        <w:textAlignment w:val="baseline"/>
      </w:pPr>
      <w:r>
        <w:rPr>
          <w:rStyle w:val="NormalCharacter"/>
          <w:b/>
          <w:szCs w:val="44"/>
          <w:sz w:val="44"/>
          <w:lang w:val="en-US" w:eastAsia="zh-CN" w:bidi="ar-SA"/>
          <w:rFonts w:ascii="黑体" w:eastAsia="黑体" w:hAnsi="黑体"/>
        </w:rPr>
        <w:t xml:space="preserve">2020年政府债券资金安排使用情况</w:t>
      </w:r>
    </w:p>
    <w:p>
      <w:pPr>
        <w:pStyle w:val="Normal"/>
        <w:rPr>
          <w:rStyle w:val="NormalCharacter"/>
          <w:b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spacing w:line="560" w:after="0" w:lineRule="exact"/>
        <w:textAlignment w:val="baseline"/>
      </w:pPr>
    </w:p>
    <w:p>
      <w:pPr>
        <w:pStyle w:val="Normal"/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ind w:firstLine="560" w:firstLineChars="200"/>
        <w:spacing w:line="560" w:after="0" w:lineRule="exact"/>
        <w:textAlignment w:val="baseline"/>
      </w:pP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2020年沅江市新增政府债券3.44亿元，其中：一般政府债券1.61亿元，专项债券1.83亿元。此外，沅江市再融资政府债券（一般债券）1.99亿元，用于偿还以前年度地方政府债券本金。</w:t>
      </w:r>
    </w:p>
    <w:p>
      <w:pPr>
        <w:pStyle w:val="Normal"/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ind w:firstLine="562"/>
        <w:spacing w:line="560" w:after="0" w:lineRule="exact"/>
        <w:textAlignment w:val="baseline"/>
      </w:pP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沅江市新增一般债券主要用于X001线公路1500万元、茶草线公路1280万元、漉乐线公路5000万元、自然村通组路建设4100万元、异地扶贫搬迁1960万元、化解大班额项目300万元。</w:t>
      </w:r>
    </w:p>
    <w:p>
      <w:pPr>
        <w:pStyle w:val="Normal"/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ind w:firstLine="562"/>
        <w:spacing w:line="560" w:after="0" w:lineRule="exact"/>
        <w:textAlignment w:val="baseline"/>
      </w:pP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新增专项债券主要用于沅江市（四季红镇等）乡镇污水处理工程5100万元、新马家园建设2550万元、沅江市景星寺路棚户区改造项目7600万元、沅江市金橙路棚户区改造项目建设3000万元。</w:t>
      </w: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    </w:t>
      </w:r>
    </w:p>
    <w:p>
      <w:pPr>
        <w:pStyle w:val="179"/>
        <w:rPr>
          <w:rStyle w:val="NormalCharacter"/>
          <w:szCs w:val="28"/>
          <w:sz w:val="28"/>
          <w:rFonts w:ascii="宋体" w:eastAsia="宋体" w:hAnsi="宋体"/>
        </w:rPr>
        <w:widowControl/>
        <w:ind w:firstLine="560" w:firstLineChars="200"/>
        <w:spacing w:line="560" w:after="0" w:lineRule="exact"/>
        <w:textAlignment w:val="baseline"/>
      </w:pPr>
    </w:p>
    <w:sectPr>
      <w:vAlign w:val="top"/>
      <w:type w:val="nextPage"/>
      <w:pgSz w:h="16838" w:w="11906" w:orient="portrait"/>
      <w:pgMar w:gutter="0" w:header="708" w:top="1440" w:bottom="1440" w:footer="708" w:left="1800" w:right="1800"/>
      <w:lnNumType w:countBy="0"/>
      <w:paperSrc w:first="0" w:other="0"/>
      <w:cols w:space="425" w:num="1"/>
      <w:docGrid w:charSpace="0" w:linePitch="360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a00002ef" w:usb1="4000207b" w:usb2="00000000" w:usb3="00000000" w:csb0="2000009f" w:csb1="00000000"/>
  </w:font>
  <w:font w:name="微软雅黑">
    <w:altName w:val="微软雅黑"/>
    <w:charset w:val="86"/>
    <w:family w:val="swiss"/>
    <w:panose1 w:val="020b0503020204020204"/>
    <w:pitch w:val="default"/>
    <w:sig w:usb0="80000287" w:usb1="280f3c52" w:usb2="00000016" w:usb3="00000000" w:csb0="0004001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Tahoma">
    <w:altName w:val="Tahoma"/>
    <w:charset w:val="00"/>
    <w:family w:val="swiss"/>
    <w:panose1 w:val="020b0604030504040204"/>
    <w:pitch w:val="default"/>
    <w:sig w:usb0="e1002eff" w:usb1="c000605b" w:usb2="00000029" w:usb3="00000000" w:csb0="200101f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720"/>
  <w:displayHorizontalDrawingGridEvery w:val="1"/>
  <w:displayVerticalDrawingGridEvery w:val="1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spaceForUL/>
    <w:ulTrailSpac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微软雅黑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2"/>
        <w:lang w:val="en-US" w:eastAsia="zh-CN" w:bidi="ar-SA"/>
        <w:rFonts w:ascii="Tahoma" w:hAnsi="Tahoma"/>
      </w:rPr>
      <w:widowControl/>
      <w:snapToGrid w:val="0"/>
      <w:spacing w:after="200"/>
      <w:textAlignment w:val="baseline"/>
    </w:pPr>
    <w:rPr>
      <w:szCs w:val="22"/>
      <w:sz w:val="22"/>
      <w:lang w:val="en-US" w:eastAsia="zh-CN" w:bidi="ar-SA"/>
      <w:rFonts w:ascii="Tahoma" w:hAnsi="Tahom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character" w:styleId="UserStyle_0">
    <w:name w:val="UserStyle_0"/>
    <w:basedOn w:val="NormalCharacter"/>
    <w:next w:val="UserStyle_0"/>
    <w:link w:val="Footer"/>
    <w:semiHidden/>
    <w:rPr>
      <w:szCs w:val="18"/>
      <w:sz w:val="18"/>
      <w:rFonts w:ascii="Tahoma" w:hAnsi="Tahoma"/>
    </w:rPr>
  </w:style>
  <w:style w:type="character" w:styleId="UserStyle_1">
    <w:name w:val="UserStyle_1"/>
    <w:basedOn w:val="NormalCharacter"/>
    <w:next w:val="UserStyle_1"/>
    <w:link w:val="Header"/>
    <w:semiHidden/>
    <w:rPr>
      <w:szCs w:val="18"/>
      <w:sz w:val="18"/>
      <w:rFonts w:ascii="Tahoma" w:hAnsi="Tahoma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lang w:val="en-US" w:eastAsia="zh-CN" w:bidi="ar-SA"/>
        <w:rFonts w:ascii="Tahoma" w:hAnsi="Tahoma"/>
      </w:rPr>
      <w:widowControl/>
      <w:tabs>
        <w:tab w:leader="none" w:val="center" w:pos="4153"/>
        <w:tab w:leader="none" w:val="right" w:pos="8306"/>
      </w:tabs>
      <w:snapToGrid w:val="0"/>
      <w:spacing w:after="200"/>
      <w:jc w:val="center"/>
      <w:textAlignment w:val="baseline"/>
      <w:pBdr>
        <w:bottom w:space="1" w:color="000000" w:val="single" w:sz="6"/>
      </w:pBdr>
    </w:pPr>
    <w:rPr>
      <w:szCs w:val="18"/>
      <w:sz w:val="18"/>
      <w:lang w:val="en-US" w:eastAsia="zh-CN" w:bidi="ar-SA"/>
      <w:rFonts w:ascii="Tahoma" w:hAnsi="Tahoma"/>
    </w:rPr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lang w:val="en-US" w:eastAsia="zh-CN" w:bidi="ar-SA"/>
        <w:rFonts w:ascii="Tahoma" w:hAnsi="Tahoma"/>
      </w:rPr>
      <w:widowControl/>
      <w:tabs>
        <w:tab w:leader="none" w:val="center" w:pos="4153"/>
        <w:tab w:leader="none" w:val="right" w:pos="8306"/>
      </w:tabs>
      <w:snapToGrid w:val="0"/>
      <w:spacing w:after="200"/>
      <w:textAlignment w:val="baseline"/>
    </w:pPr>
    <w:rPr>
      <w:szCs w:val="18"/>
      <w:sz w:val="18"/>
      <w:lang w:val="en-US" w:eastAsia="zh-CN" w:bidi="ar-SA"/>
      <w:rFonts w:ascii="Tahoma" w:hAnsi="Tahoma"/>
    </w:rPr>
  </w:style>
  <w:style w:type="paragraph" w:styleId="UserStyle_2">
    <w:name w:val="UserStyle_2"/>
    <w:basedOn w:val="Normal"/>
    <w:next w:val="UserStyle_2"/>
    <w:link w:val="Normal"/>
    <w:pPr>
      <w:widowControl/>
      <w:snapToGrid w:val="0"/>
      <w:ind w:firstLine="420" w:firstLineChars="200"/>
      <w:spacing w:after="200"/>
      <w:textAlignment w:val="baseline"/>
    </w:pPr>
  </w:style>
  <w:style w:type="paragraph" w:styleId="179">
    <w:name w:val="179"/>
    <w:basedOn w:val="Normal"/>
    <w:next w:val="179"/>
    <w:link w:val="Normal"/>
    <w:pPr>
      <w:widowControl/>
      <w:snapToGrid w:val="0"/>
      <w:ind w:firstLine="420" w:firstLineChars="200"/>
      <w:spacing w:after="200"/>
      <w:textAlignment w:val="baseline"/>
    </w:p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lang w:val="en-US" w:eastAsia="zh-CN" w:bidi="ar-SA"/>
          <w:rFonts w:ascii="黑体" w:eastAsia="黑体" w:hAnsi="黑体"/>
        </w:rPr>
        <w:widowControl/>
        <w:snapToGrid w:val="0"/>
        <w:spacing w:line="560" w:after="0" w:lineRule="exact"/>
        <w:jc w:val="center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lang w:val="en-US" w:eastAsia="zh-CN" w:bidi="ar-SA"/>
          <w:rFonts w:ascii="黑体" w:eastAsia="黑体" w:hAnsi="黑体"/>
        </w:rPr>
        <w:widowControl/>
        <w:snapToGrid w:val="0"/>
        <w:spacing w:line="560" w:after="0" w:lineRule="exact"/>
        <w:jc w:val="center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spacing w:line="560" w:after="0" w:lineRule="exact"/>
        <w:jc w:val="center"/>
        <w:textAlignment w:val="baseline"/>
      </w:pPr>
      <w:r>
        <w:rPr>
          <w:rStyle w:val="NormalCharacter"/>
          <w:b/>
          <w:szCs w:val="44"/>
          <w:sz w:val="44"/>
          <w:lang w:val="en-US" w:eastAsia="zh-CN" w:bidi="ar-SA"/>
          <w:rFonts w:ascii="黑体" w:eastAsia="黑体" w:hAnsi="黑体"/>
        </w:rPr>
        <w:t xml:space="preserve">2019年政府债券资金安排使用情况</w:t>
      </w:r>
    </w:p>
    <w:p>
      <w:pPr>
        <w:pStyle w:val="Normal"/>
        <w:rPr>
          <w:rStyle w:val="NormalCharacter"/>
          <w:b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spacing w:line="560" w:after="0" w:lineRule="exact"/>
        <w:textAlignment w:val="baseline"/>
      </w:pPr>
    </w:p>
    <w:p>
      <w:pPr>
        <w:pStyle w:val="Normal"/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ind w:firstLine="560" w:firstLineChars="200"/>
        <w:spacing w:line="560" w:after="0" w:lineRule="exact"/>
        <w:textAlignment w:val="baseline"/>
      </w:pP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2019年沅江市新增政府债券3.44亿元，其中：一般政府债券1.61亿元，专项债券1.83亿元。此外，沅江市再融资政府债券（一般债券）1.99亿元，用于偿还以前年度地方政府债券本金。</w:t>
      </w:r>
    </w:p>
    <w:p>
      <w:pPr>
        <w:pStyle w:val="Normal"/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ind w:firstLine="562"/>
        <w:spacing w:line="560" w:after="0" w:lineRule="exact"/>
        <w:textAlignment w:val="baseline"/>
      </w:pP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沅江市新增一般债券主要用于X001线公路1500万元、茶草线公路1280万元、漉乐线公路5000万元、自然村通组路建设4100万元、异地扶贫搬迁1960万元、化解大班额项目300万元。</w:t>
      </w:r>
    </w:p>
    <w:p>
      <w:pPr>
        <w:pStyle w:val="Normal"/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widowControl/>
        <w:snapToGrid w:val="0"/>
        <w:ind w:firstLine="562"/>
        <w:spacing w:line="560" w:after="0" w:lineRule="exact"/>
        <w:textAlignment w:val="baseline"/>
      </w:pP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新增专项债券主要用于沅江市（四季红镇等）乡镇污水处理工程5100万元、新马家园建设2550万元、沅江市景星寺路棚户区改造项目7600万元、沅江市金橙路棚户区改造项目建设3000万元。</w:t>
      </w:r>
      <w:r>
        <w:rPr>
          <w:rStyle w:val="NormalCharacter"/>
          <w:szCs w:val="28"/>
          <w:sz w:val="28"/>
          <w:lang w:val="en-US" w:eastAsia="zh-CN" w:bidi="ar-SA"/>
          <w:rFonts w:ascii="宋体" w:eastAsia="宋体" w:hAnsi="宋体"/>
        </w:rPr>
        <w:t xml:space="preserve">    </w:t>
      </w:r>
    </w:p>
    <w:p>
      <w:pPr>
        <w:pStyle w:val="179"/>
        <w:rPr>
          <w:rStyle w:val="NormalCharacter"/>
          <w:szCs w:val="28"/>
          <w:sz w:val="28"/>
          <w:rFonts w:ascii="宋体" w:eastAsia="宋体" w:hAnsi="宋体"/>
        </w:rPr>
        <w:widowControl/>
        <w:ind w:firstLine="560" w:firstLineChars="200"/>
        <w:spacing w:line="560" w:after="0" w:lineRule="exact"/>
        <w:textAlignment w:val="baseline"/>
      </w:pPr>
    </w:p>
    <w:sectPr>
      <w:vAlign w:val="top"/>
      <w:type w:val="nextPage"/>
      <w:pgSz w:h="16838" w:w="11906" w:orient="portrait"/>
      <w:pgMar w:gutter="0" w:header="708" w:top="1440" w:bottom="1440" w:footer="708" w:left="1800" w:right="1800"/>
      <w:lnNumType w:countBy="0"/>
      <w:paperSrc w:first="0" w:other="0"/>
      <w:cols w:space="425" w:num="1"/>
      <w:docGrid w:charSpace="0" w:linePitch="360" w:type="lines"/>
    </w:sectPr>
  </w:body>
</w:document>
</file>

<file path=treport/opRecord.xml>p_2(0);p_4(0);
</file>