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40" w:lineRule="auto"/>
        <w:jc w:val="center"/>
        <w:rPr>
          <w:rFonts w:ascii="仿宋" w:eastAsia="仿宋" w:cs="仿宋"/>
          <w:sz w:val="44"/>
          <w:szCs w:val="44"/>
        </w:rPr>
      </w:pPr>
      <w:r>
        <w:rPr>
          <w:rFonts w:ascii="仿宋" w:eastAsia="仿宋" w:cs="仿宋"/>
          <w:sz w:val="44"/>
          <w:szCs w:val="44"/>
        </w:rPr>
        <w:t>目    录</w:t>
      </w:r>
    </w:p>
    <w:p>
      <w:pPr>
        <w:rPr>
          <w:rFonts w:ascii="仿宋" w:eastAsia="仿宋" w:cs="仿宋"/>
          <w:sz w:val="28"/>
          <w:szCs w:val="28"/>
        </w:rPr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第一部分 沅江市红十字会2020部门预算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报告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>；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第二部分 部门预算公开的表格情况 </w:t>
      </w:r>
    </w:p>
    <w:p>
      <w:pPr>
        <w:ind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1、部门收支总体情况表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2、部门收入总体情况表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3、部门支出总体情况表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4、部门支出总表（按部门预算经济分类）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5、部门支出总表（按政府预算经济分类）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6、基本支出预算明细表-工资福利支出（按部门预算经济分类）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7、基本支出预算明细表-工资福利支出（按政府预算经济分类）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8、基本支出预算明细表-商品和服务支出（按部门预算经济分类）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9、基本支出预算明细表-商品和服务支出（按政府预算经济分类）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10、基本支出预算明细表-对个人和家庭的补助（按部门预算经济分类）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11、基本支出预算明细表-对个人和家庭的补助（按政府预算经济分类）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12、财政拨款收支总体情况表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13、一般公共预算支出情况表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14、一般公共预算基本支出情况表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15、一般公共预算省级基本支出预算明细表-工资福利支出（按部门预算经济分类）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16、一般公共预算省级基本支出预算明细表-工资福利支出（按政府预算经济分类）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17、一般公共预算省级基本支出预算明细表-商品和服务支出（按部门预算经济分类）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18、一般公共预算省级基本支出预算明细表-商品和服务支出（按政府预算经济分类）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19、一般公共预算省级基本支出预算明细表-对个人和家庭的补助（按部门预算经济分类）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20、一般公共预算省级基本支出预算明细表-对个人和家庭的补助（按政府预算经济分类）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21、政府性基金预算支出情况表（按部门预算经济分类）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22、政府性基金预算支出情况表（按政府预算经济分类）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23、纳入专户管理的非税收入拨款预算分类汇总表（按部门预算经济分类）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24、纳入专户管理的非税收入拨款预算分类汇总表（按政府预算经济分类）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25、经费拨款预算支出情况表（按部门预算经济分类）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26、经费拨款预算支出情况表（按政府预算经济分类）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　　27、专项资金预算汇总表</w:t>
      </w:r>
    </w:p>
    <w:p>
      <w:pPr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28、一般公共预算“三公”经费预算表 </w:t>
      </w:r>
    </w:p>
    <w:p>
      <w:pPr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29、2020年度单位项目支出预算绩效目标申报表</w:t>
      </w:r>
    </w:p>
    <w:p>
      <w:pPr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30、2020年度部门整体支出预算绩效目标申报表</w:t>
      </w:r>
    </w:p>
    <w:p>
      <w:pPr>
        <w:ind w:firstLine="629"/>
        <w:rPr>
          <w:rFonts w:asci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701" w:right="1440" w:bottom="1440" w:left="1440" w:header="708" w:footer="708" w:gutter="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rawingGridHorizontalSpacing w:val="120"/>
  <w:drawingGridVerticalSpacing w:val="156"/>
  <w:displayHorizontalDrawingGridEvery w:val="0"/>
  <w:displayVerticalDrawingGridEvery w:val="2"/>
  <w:noPunctuationKerning w:val="1"/>
  <w:compat>
    <w:spaceForUL/>
    <w:balanceSingleByteDoubleByteWidth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6195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  <w:jc w:val="both"/>
    </w:pPr>
    <w:rPr>
      <w:rFonts w:ascii="Calibri" w:hAnsi="Calibri" w:eastAsia="宋体" w:cs="宋体"/>
      <w:color w:val="auto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  <w:rPr>
      <w:color w:val="auto"/>
      <w:sz w:val="21"/>
      <w:szCs w:val="21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794</Words>
  <Characters>824</Characters>
  <Lines>48</Lines>
  <Paragraphs>33</Paragraphs>
  <TotalTime>22</TotalTime>
  <ScaleCrop>false</ScaleCrop>
  <LinksUpToDate>false</LinksUpToDate>
  <CharactersWithSpaces>910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2021-06-21T01:26:38Z</dcterms:created>
  <dc:creator>Administrator</dc:creator>
  <cp:lastModifiedBy>喜洋洋</cp:lastModifiedBy>
  <dcterms:modified xsi:type="dcterms:W3CDTF">2021-06-21T01:27:06Z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40" w:lineRule="auto"/>
        <w:jc w:val="center"/>
        <w:rPr>
          <w:rFonts w:ascii="仿宋" w:eastAsia="仿宋" w:cs="仿宋"/>
          <w:sz w:val="44"/>
          <w:szCs w:val="44"/>
        </w:rPr>
      </w:pPr>
      <w:r>
        <w:rPr>
          <w:rFonts w:ascii="仿宋" w:eastAsia="仿宋" w:cs="仿宋"/>
          <w:sz w:val="44"/>
          <w:szCs w:val="44"/>
        </w:rPr>
        <w:t>目    录</w:t>
      </w:r>
    </w:p>
    <w:p>
      <w:pPr>
        <w:rPr>
          <w:rFonts w:ascii="仿宋" w:eastAsia="仿宋" w:cs="仿宋"/>
          <w:sz w:val="28"/>
          <w:szCs w:val="28"/>
        </w:rPr>
      </w:pP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第一部分 沅江市科学技术协会2020部门预算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报告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>；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第二部分 部门预算公开的表格情况 </w:t>
      </w:r>
    </w:p>
    <w:p>
      <w:pPr>
        <w:ind w:firstLine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1、部门收支总体情况表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2、部门收入总体情况表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3、部门支出总体情况表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4、部门支出总表（按部门预算经济分类）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5、部门支出总表（按政府预算经济分类）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6、基本支出预算明细表-工资福利支出（按部门预算经济分类）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7、基本支出预算明细表-工资福利支出（按政府预算经济分类）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8、基本支出预算明细表-商品和服务支出（按部门预算经济分类）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9、基本支出预算明细表-商品和服务支出（按政府预算经济分类）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10、基本支出预算明细表-对个人和家庭的补助（按部门预算经济分类）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11、基本支出预算明细表-对个人和家庭的补助（按政府预算经济分类）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12、财政拨款收支总体情况表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13、一般公共预算支出情况表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14、一般公共预算基本支出情况表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15、一般公共预算省级基本支出预算明细表-工资福利支出（按部门预算经济分类）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16、一般公共预算省级基本支出预算明细表-工资福利支出（按政府预算经济分类）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17、一般公共预算省级基本支出预算明细表-商品和服务支出（按部门预算经济分类）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18、一般公共预算省级基本支出预算明细表-商品和服务支出（按政府预算经济分类）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19、一般公共预算省级基本支出预算明细表-对个人和家庭的补助（按部门预算经济分类）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20、一般公共预算省级基本支出预算明细表-对个人和家庭的补助（按政府预算经济分类）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21、政府性基金预算支出情况表（按部门预算经济分类）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22、政府性基金预算支出情况表（按政府预算经济分类）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23、纳入专户管理的非税收入拨款预算分类汇总表（按部门预算经济分类）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24、纳入专户管理的非税收入拨款预算分类汇总表（按政府预算经济分类）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25、经费拨款预算支出情况表（按部门预算经济分类）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　　26、经费拨款预算支出情况表（按政府预算经济分类） 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　　27、专项资金预算汇总表</w:t>
      </w:r>
    </w:p>
    <w:p>
      <w:pPr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28、一般公共预算“三公”经费预算表 </w:t>
      </w:r>
    </w:p>
    <w:p>
      <w:pPr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29、2020年度单位项目支出预算绩效目标申报表</w:t>
      </w:r>
    </w:p>
    <w:p>
      <w:pPr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30、2020年度部门整体支出预算绩效目标申报表</w:t>
      </w:r>
    </w:p>
    <w:p>
      <w:pPr>
        <w:ind w:firstLine="629"/>
        <w:rPr>
          <w:rFonts w:asci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701" w:right="1440" w:bottom="1440" w:left="1440" w:header="708" w:footer="708" w:gutter="0"/>
      <w:docGrid w:linePitch="360" w:charSpace="6144"/>
    </w:sectPr>
  </w:body>
</w:document>
</file>

<file path=treport/opRecord.xml>p_2(0);
</file>